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48616" w14:textId="40B2158F" w:rsidR="00A8539F" w:rsidRPr="00D93AF6" w:rsidRDefault="009F7701" w:rsidP="00A8539F">
      <w:pPr>
        <w:keepLines/>
        <w:tabs>
          <w:tab w:val="right" w:pos="10440"/>
          <w:tab w:val="right" w:pos="13323"/>
        </w:tabs>
        <w:spacing w:after="0"/>
        <w:rPr>
          <w:rFonts w:ascii="Arial" w:eastAsia="SimSun" w:hAnsi="Arial" w:cs="Arial"/>
          <w:b/>
          <w:sz w:val="24"/>
          <w:szCs w:val="24"/>
          <w:lang w:val="en-US" w:eastAsia="zh-CN"/>
        </w:rPr>
      </w:pPr>
      <w:r w:rsidRPr="00D93AF6">
        <w:rPr>
          <w:rFonts w:ascii="Arial" w:eastAsia="MS Mincho" w:hAnsi="Arial" w:cs="Arial"/>
          <w:b/>
          <w:sz w:val="24"/>
          <w:szCs w:val="24"/>
          <w:lang w:val="en-US"/>
        </w:rPr>
        <w:t>3GPP TSG-RAN WG4 Meeting # 10</w:t>
      </w:r>
      <w:r w:rsidR="00EE19A6" w:rsidRPr="00D93AF6">
        <w:rPr>
          <w:rFonts w:ascii="Arial" w:eastAsia="MS Mincho" w:hAnsi="Arial" w:cs="Arial"/>
          <w:b/>
          <w:sz w:val="24"/>
          <w:szCs w:val="24"/>
          <w:lang w:val="en-US"/>
        </w:rPr>
        <w:t>7</w:t>
      </w:r>
      <w:r w:rsidR="00A8539F" w:rsidRPr="00D93AF6">
        <w:rPr>
          <w:rFonts w:ascii="Arial" w:eastAsia="MS Mincho" w:hAnsi="Arial" w:cs="Arial"/>
          <w:b/>
          <w:sz w:val="24"/>
          <w:szCs w:val="24"/>
          <w:lang w:val="en-US"/>
        </w:rPr>
        <w:tab/>
      </w:r>
      <w:r w:rsidR="00497045" w:rsidRPr="00D93AF6">
        <w:rPr>
          <w:rFonts w:ascii="Arial" w:eastAsia="MS Mincho" w:hAnsi="Arial" w:cs="Arial"/>
          <w:b/>
          <w:sz w:val="24"/>
          <w:szCs w:val="24"/>
          <w:lang w:val="en-US"/>
        </w:rPr>
        <w:t>R4-2309811</w:t>
      </w:r>
    </w:p>
    <w:p w14:paraId="36A9A473" w14:textId="32A2AB97" w:rsidR="009F7701" w:rsidRPr="00D93AF6" w:rsidRDefault="00585DE9" w:rsidP="00C00E40">
      <w:pPr>
        <w:pStyle w:val="Header"/>
        <w:rPr>
          <w:rFonts w:eastAsia="MS Mincho" w:cs="Arial"/>
          <w:noProof w:val="0"/>
          <w:sz w:val="24"/>
          <w:szCs w:val="24"/>
        </w:rPr>
      </w:pPr>
      <w:r w:rsidRPr="00D93AF6">
        <w:rPr>
          <w:rFonts w:eastAsia="MS Mincho" w:cs="Arial"/>
          <w:noProof w:val="0"/>
          <w:sz w:val="24"/>
          <w:szCs w:val="24"/>
        </w:rPr>
        <w:t>Incheon, KR, May 22 – May 26, 2023</w:t>
      </w:r>
    </w:p>
    <w:p w14:paraId="265DFE88" w14:textId="77777777" w:rsidR="00585DE9" w:rsidRPr="00D93AF6" w:rsidRDefault="00585DE9" w:rsidP="00C00E40">
      <w:pPr>
        <w:pStyle w:val="Header"/>
        <w:rPr>
          <w:b w:val="0"/>
          <w:sz w:val="28"/>
          <w:szCs w:val="22"/>
        </w:rPr>
      </w:pPr>
    </w:p>
    <w:p w14:paraId="740A512E" w14:textId="7A2F4513" w:rsidR="002E7F59" w:rsidRPr="00D93AF6" w:rsidRDefault="002E7F59" w:rsidP="002E7F59">
      <w:pPr>
        <w:widowControl w:val="0"/>
        <w:jc w:val="both"/>
        <w:rPr>
          <w:rFonts w:ascii="Arial" w:hAnsi="Arial" w:cs="Arial"/>
          <w:b/>
          <w:sz w:val="22"/>
          <w:szCs w:val="22"/>
          <w:lang w:val="sv-SE"/>
        </w:rPr>
      </w:pPr>
      <w:r w:rsidRPr="00D93AF6">
        <w:rPr>
          <w:rFonts w:ascii="Arial" w:hAnsi="Arial" w:cs="Arial"/>
          <w:b/>
          <w:sz w:val="22"/>
          <w:szCs w:val="22"/>
          <w:lang w:val="sv-SE"/>
        </w:rPr>
        <w:t>Agenda Item:</w:t>
      </w:r>
      <w:r w:rsidR="007931DC" w:rsidRPr="00D93AF6">
        <w:rPr>
          <w:rFonts w:ascii="Arial" w:hAnsi="Arial" w:cs="Arial"/>
          <w:b/>
          <w:sz w:val="22"/>
          <w:szCs w:val="22"/>
          <w:lang w:val="sv-SE"/>
        </w:rPr>
        <w:tab/>
      </w:r>
      <w:r w:rsidR="007931DC" w:rsidRPr="00D93AF6">
        <w:rPr>
          <w:rFonts w:ascii="Arial" w:hAnsi="Arial" w:cs="Arial"/>
          <w:b/>
          <w:sz w:val="22"/>
          <w:szCs w:val="22"/>
          <w:lang w:val="sv-SE"/>
        </w:rPr>
        <w:tab/>
      </w:r>
      <w:r w:rsidR="0062465A" w:rsidRPr="00D93AF6">
        <w:rPr>
          <w:rFonts w:ascii="Arial" w:hAnsi="Arial" w:cs="Arial"/>
          <w:b/>
          <w:noProof/>
          <w:sz w:val="22"/>
          <w:szCs w:val="22"/>
          <w:lang w:val="sv-SE"/>
        </w:rPr>
        <w:tab/>
      </w:r>
      <w:r w:rsidR="00636B2D" w:rsidRPr="00D93AF6">
        <w:rPr>
          <w:rFonts w:ascii="Arial" w:hAnsi="Arial" w:cs="Arial"/>
          <w:sz w:val="22"/>
          <w:szCs w:val="22"/>
          <w:lang w:val="sv-SE"/>
        </w:rPr>
        <w:t>8</w:t>
      </w:r>
      <w:r w:rsidR="009F7701" w:rsidRPr="00D93AF6">
        <w:rPr>
          <w:rFonts w:ascii="Arial" w:hAnsi="Arial" w:cs="Arial"/>
          <w:sz w:val="22"/>
          <w:szCs w:val="22"/>
          <w:lang w:val="sv-SE"/>
        </w:rPr>
        <w:t>.</w:t>
      </w:r>
      <w:r w:rsidR="00636B2D" w:rsidRPr="00D93AF6">
        <w:rPr>
          <w:rFonts w:ascii="Arial" w:hAnsi="Arial" w:cs="Arial"/>
          <w:sz w:val="22"/>
          <w:szCs w:val="22"/>
          <w:lang w:val="sv-SE"/>
        </w:rPr>
        <w:t>3</w:t>
      </w:r>
      <w:r w:rsidR="009F7701" w:rsidRPr="00D93AF6">
        <w:rPr>
          <w:rFonts w:ascii="Arial" w:hAnsi="Arial" w:cs="Arial"/>
          <w:sz w:val="22"/>
          <w:szCs w:val="22"/>
          <w:lang w:val="sv-SE"/>
        </w:rPr>
        <w:t>.</w:t>
      </w:r>
      <w:r w:rsidR="00497045" w:rsidRPr="00D93AF6">
        <w:rPr>
          <w:rFonts w:ascii="Arial" w:hAnsi="Arial" w:cs="Arial"/>
          <w:sz w:val="22"/>
          <w:szCs w:val="22"/>
          <w:lang w:val="sv-SE"/>
        </w:rPr>
        <w:t>6</w:t>
      </w:r>
    </w:p>
    <w:p w14:paraId="4AD940D4" w14:textId="1A97D579" w:rsidR="002E7F59" w:rsidRPr="00D93AF6" w:rsidRDefault="002E7F59" w:rsidP="002E7F59">
      <w:pPr>
        <w:widowControl w:val="0"/>
        <w:jc w:val="both"/>
        <w:rPr>
          <w:rFonts w:ascii="Arial" w:hAnsi="Arial" w:cs="Arial"/>
          <w:b/>
          <w:sz w:val="22"/>
          <w:szCs w:val="22"/>
        </w:rPr>
      </w:pPr>
      <w:r w:rsidRPr="00D93AF6">
        <w:rPr>
          <w:rFonts w:ascii="Arial" w:hAnsi="Arial" w:cs="Arial"/>
          <w:b/>
          <w:sz w:val="22"/>
          <w:szCs w:val="22"/>
        </w:rPr>
        <w:t>Source:</w:t>
      </w:r>
      <w:r w:rsidR="007931DC" w:rsidRPr="00D93AF6">
        <w:rPr>
          <w:rFonts w:ascii="Arial" w:hAnsi="Arial" w:cs="Arial"/>
          <w:b/>
          <w:sz w:val="22"/>
          <w:szCs w:val="22"/>
        </w:rPr>
        <w:tab/>
      </w:r>
      <w:r w:rsidR="007931DC" w:rsidRPr="00D93AF6">
        <w:rPr>
          <w:rFonts w:ascii="Arial" w:hAnsi="Arial" w:cs="Arial"/>
          <w:b/>
          <w:sz w:val="22"/>
          <w:szCs w:val="22"/>
        </w:rPr>
        <w:tab/>
      </w:r>
      <w:r w:rsidR="007931DC" w:rsidRPr="00D93AF6">
        <w:rPr>
          <w:rFonts w:ascii="Arial" w:hAnsi="Arial" w:cs="Arial"/>
          <w:b/>
          <w:sz w:val="22"/>
          <w:szCs w:val="22"/>
        </w:rPr>
        <w:tab/>
      </w:r>
      <w:r w:rsidR="007931DC" w:rsidRPr="00D93AF6">
        <w:rPr>
          <w:rFonts w:ascii="Arial" w:hAnsi="Arial" w:cs="Arial"/>
          <w:b/>
          <w:sz w:val="22"/>
          <w:szCs w:val="22"/>
        </w:rPr>
        <w:tab/>
      </w:r>
      <w:r w:rsidR="0062465A" w:rsidRPr="00D93AF6">
        <w:rPr>
          <w:rFonts w:ascii="Arial" w:hAnsi="Arial" w:cs="Arial"/>
          <w:b/>
          <w:noProof/>
          <w:sz w:val="22"/>
          <w:szCs w:val="22"/>
        </w:rPr>
        <w:tab/>
      </w:r>
      <w:r w:rsidRPr="00D93AF6">
        <w:rPr>
          <w:rFonts w:ascii="Arial" w:hAnsi="Arial"/>
          <w:sz w:val="22"/>
          <w:szCs w:val="22"/>
        </w:rPr>
        <w:t>Qualcomm Incorporated</w:t>
      </w:r>
    </w:p>
    <w:p w14:paraId="0B98ED3F" w14:textId="647CAF18" w:rsidR="002E7F59" w:rsidRPr="00D93AF6" w:rsidRDefault="002E7F59" w:rsidP="002E7F59">
      <w:pPr>
        <w:widowControl w:val="0"/>
        <w:ind w:left="2160" w:hanging="2160"/>
        <w:jc w:val="both"/>
        <w:rPr>
          <w:rFonts w:ascii="Arial" w:hAnsi="Arial"/>
          <w:sz w:val="22"/>
          <w:szCs w:val="22"/>
        </w:rPr>
      </w:pPr>
      <w:r w:rsidRPr="00D93AF6">
        <w:rPr>
          <w:rFonts w:ascii="Arial" w:hAnsi="Arial" w:cs="Arial"/>
          <w:b/>
          <w:sz w:val="22"/>
          <w:szCs w:val="22"/>
        </w:rPr>
        <w:t>Title:</w:t>
      </w:r>
      <w:r w:rsidR="007931DC" w:rsidRPr="00D93AF6">
        <w:rPr>
          <w:rFonts w:ascii="Arial" w:hAnsi="Arial" w:cs="Arial"/>
          <w:b/>
          <w:sz w:val="22"/>
          <w:szCs w:val="22"/>
        </w:rPr>
        <w:t xml:space="preserve">                      </w:t>
      </w:r>
      <w:r w:rsidR="0062465A" w:rsidRPr="00D93AF6">
        <w:rPr>
          <w:rFonts w:ascii="Arial" w:hAnsi="Arial" w:cs="Arial"/>
          <w:b/>
          <w:noProof/>
          <w:sz w:val="22"/>
          <w:szCs w:val="22"/>
        </w:rPr>
        <w:t xml:space="preserve">  </w:t>
      </w:r>
      <w:r w:rsidR="00497045" w:rsidRPr="00D93AF6">
        <w:rPr>
          <w:rFonts w:ascii="Arial" w:hAnsi="Arial"/>
          <w:sz w:val="22"/>
          <w:szCs w:val="22"/>
        </w:rPr>
        <w:t>WF for FR2 OTA test SI</w:t>
      </w:r>
    </w:p>
    <w:p w14:paraId="04D23067" w14:textId="0A059214" w:rsidR="002E7F59" w:rsidRPr="00D93AF6" w:rsidRDefault="002E7F59" w:rsidP="002E7F59">
      <w:pPr>
        <w:widowControl w:val="0"/>
        <w:jc w:val="both"/>
        <w:rPr>
          <w:rFonts w:ascii="Arial" w:hAnsi="Arial" w:cs="Arial"/>
          <w:b/>
          <w:sz w:val="22"/>
          <w:szCs w:val="22"/>
        </w:rPr>
      </w:pPr>
      <w:r w:rsidRPr="00D93AF6">
        <w:rPr>
          <w:rFonts w:ascii="Arial" w:hAnsi="Arial" w:cs="Arial"/>
          <w:b/>
          <w:sz w:val="22"/>
          <w:szCs w:val="22"/>
        </w:rPr>
        <w:t>Document for:</w:t>
      </w:r>
      <w:r w:rsidRPr="00D93AF6">
        <w:rPr>
          <w:rFonts w:ascii="Arial" w:hAnsi="Arial" w:cs="Arial"/>
          <w:b/>
          <w:sz w:val="22"/>
          <w:szCs w:val="22"/>
        </w:rPr>
        <w:tab/>
      </w:r>
      <w:r w:rsidR="002A20A4" w:rsidRPr="00D93AF6">
        <w:rPr>
          <w:rFonts w:ascii="Arial" w:hAnsi="Arial" w:cs="Arial"/>
          <w:b/>
          <w:sz w:val="22"/>
          <w:szCs w:val="22"/>
        </w:rPr>
        <w:tab/>
      </w:r>
      <w:r w:rsidRPr="00D93AF6">
        <w:rPr>
          <w:rFonts w:ascii="Arial" w:hAnsi="Arial" w:cs="Arial"/>
          <w:sz w:val="22"/>
          <w:szCs w:val="22"/>
        </w:rPr>
        <w:t>Approval</w:t>
      </w:r>
    </w:p>
    <w:p w14:paraId="1A311478" w14:textId="2B8D7BBD" w:rsidR="00ED7522" w:rsidRPr="00D93AF6" w:rsidRDefault="00497045" w:rsidP="00497045">
      <w:pPr>
        <w:pStyle w:val="Heading1"/>
        <w:numPr>
          <w:ilvl w:val="0"/>
          <w:numId w:val="0"/>
        </w:numPr>
        <w:ind w:left="432" w:hanging="432"/>
        <w:rPr>
          <w:lang w:eastAsia="ja-JP"/>
        </w:rPr>
      </w:pPr>
      <w:r w:rsidRPr="00D93AF6">
        <w:rPr>
          <w:lang w:eastAsia="ja-JP"/>
        </w:rPr>
        <w:t>Topic #1: Test method for UE RF</w:t>
      </w:r>
    </w:p>
    <w:p w14:paraId="04563DBB" w14:textId="77777777" w:rsidR="00497045" w:rsidRPr="00D93AF6" w:rsidRDefault="00497045" w:rsidP="00497045">
      <w:pPr>
        <w:rPr>
          <w:b/>
          <w:u w:val="single"/>
          <w:lang w:eastAsia="ko-KR"/>
        </w:rPr>
      </w:pPr>
      <w:r w:rsidRPr="00D93AF6">
        <w:rPr>
          <w:b/>
          <w:u w:val="single"/>
          <w:lang w:eastAsia="ko-KR"/>
        </w:rPr>
        <w:t>Issue 1-1-1: Measurement grid analysis for preliminary MU</w:t>
      </w:r>
    </w:p>
    <w:p w14:paraId="6B4B16E6" w14:textId="77777777" w:rsidR="00497045" w:rsidRPr="00D93AF6" w:rsidRDefault="00497045" w:rsidP="00497045">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3ABA6B1E" w14:textId="77777777" w:rsidR="00497045" w:rsidRPr="00D93AF6" w:rsidRDefault="00497045" w:rsidP="0049704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(R4-2307933): RAN4 further discuss how the measurement grid analysis could be done for multi-RX DL 2AoA spherical coverage. Both sin θ weighting and Clenshaw-Curtis weighting should be included in the measurement grid analysis.</w:t>
      </w:r>
    </w:p>
    <w:p w14:paraId="1CAC3797" w14:textId="77777777" w:rsidR="00497045" w:rsidRPr="00D93AF6" w:rsidRDefault="00497045" w:rsidP="0049704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(R4-2307933): Companies are encouraged to compare the simulation results difference between fine grids and coarse grids. Fine grids are suggested with &lt;=2deg step size, and course grids are suggested to be 15deg step size.</w:t>
      </w:r>
    </w:p>
    <w:p w14:paraId="75FCEE3D" w14:textId="77777777" w:rsidR="00497045" w:rsidRPr="00D93AF6" w:rsidRDefault="00497045" w:rsidP="00497045">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4CE8306E" w14:textId="2B9D46DC" w:rsidR="00497045" w:rsidRPr="00D93AF6" w:rsidRDefault="00497045" w:rsidP="0049704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RAN4 to further discuss how the measurement grid analysis could be done for multi-RX DL 2AoA spherical coverage. </w:t>
      </w:r>
    </w:p>
    <w:p w14:paraId="0296D397" w14:textId="77777777" w:rsidR="00497045" w:rsidRPr="00D93AF6" w:rsidRDefault="00497045" w:rsidP="00497045">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rFonts w:eastAsia="SimSun"/>
          <w:szCs w:val="24"/>
          <w:lang w:eastAsia="zh-CN"/>
        </w:rPr>
        <w:t>Clenshaw-Curtis weighting is recommended.</w:t>
      </w:r>
    </w:p>
    <w:p w14:paraId="6F400359" w14:textId="77777777" w:rsidR="00497045" w:rsidRPr="00D93AF6" w:rsidRDefault="00497045" w:rsidP="00497045">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rFonts w:eastAsia="SimSun"/>
          <w:szCs w:val="24"/>
          <w:lang w:eastAsia="zh-CN"/>
        </w:rPr>
        <w:t>sin θ weighting is not precluded.</w:t>
      </w:r>
    </w:p>
    <w:p w14:paraId="05CD4FB8" w14:textId="6AB1CBEB" w:rsidR="00497045" w:rsidRPr="00D93AF6" w:rsidRDefault="00497045" w:rsidP="00497045">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Companies are encouraged to compare the simulation results difference between fine grids and coarse grids. </w:t>
      </w:r>
    </w:p>
    <w:p w14:paraId="3077FCEB" w14:textId="77777777" w:rsidR="00497045" w:rsidRPr="00D93AF6" w:rsidRDefault="00497045" w:rsidP="00497045">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rFonts w:eastAsia="SimSun"/>
          <w:szCs w:val="24"/>
          <w:lang w:eastAsia="zh-CN"/>
        </w:rPr>
        <w:t xml:space="preserve">Fine grids are suggested with 2deg step size, and course grids </w:t>
      </w:r>
      <w:r w:rsidRPr="00D93AF6">
        <w:rPr>
          <w:rFonts w:eastAsia="SimSun" w:hint="eastAsia"/>
          <w:szCs w:val="24"/>
          <w:lang w:eastAsia="zh-CN"/>
        </w:rPr>
        <w:t>≤</w:t>
      </w:r>
      <w:r w:rsidRPr="00D93AF6">
        <w:rPr>
          <w:rFonts w:eastAsia="SimSun"/>
          <w:szCs w:val="24"/>
          <w:lang w:eastAsia="zh-CN"/>
        </w:rPr>
        <w:t xml:space="preserve">30deg step size are suggested to be analyzed. </w:t>
      </w:r>
    </w:p>
    <w:p w14:paraId="062E8A42" w14:textId="77777777" w:rsidR="00497045" w:rsidRPr="00D93AF6" w:rsidRDefault="00497045" w:rsidP="00497045">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rFonts w:eastAsia="SimSun"/>
          <w:szCs w:val="24"/>
          <w:lang w:eastAsia="zh-CN"/>
        </w:rPr>
        <w:t>The step size of 15deg should be included.</w:t>
      </w:r>
    </w:p>
    <w:p w14:paraId="427AB302" w14:textId="77777777" w:rsidR="00497045" w:rsidRPr="00D93AF6" w:rsidRDefault="00497045" w:rsidP="00497045">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rFonts w:eastAsia="SimSun"/>
          <w:szCs w:val="24"/>
          <w:lang w:eastAsia="zh-CN"/>
        </w:rPr>
        <w:t>RAN4 will further study the measurement grid based on MU analysis</w:t>
      </w:r>
    </w:p>
    <w:p w14:paraId="6DD0D85A" w14:textId="5CCBB76C" w:rsidR="00497045" w:rsidRPr="00D93AF6" w:rsidRDefault="00497045" w:rsidP="00497045">
      <w:pPr>
        <w:rPr>
          <w:lang w:eastAsia="ja-JP"/>
        </w:rPr>
      </w:pPr>
    </w:p>
    <w:p w14:paraId="1332AE36" w14:textId="77777777" w:rsidR="009853DC" w:rsidRPr="00D93AF6" w:rsidRDefault="009853DC" w:rsidP="009853DC">
      <w:pPr>
        <w:rPr>
          <w:b/>
          <w:u w:val="single"/>
          <w:lang w:eastAsia="ko-KR"/>
        </w:rPr>
      </w:pPr>
      <w:r w:rsidRPr="00D93AF6">
        <w:rPr>
          <w:b/>
          <w:u w:val="single"/>
          <w:lang w:eastAsia="ko-KR"/>
        </w:rPr>
        <w:t>Issue 1-1-3: How to represent AoA pair in the measurement grid</w:t>
      </w:r>
    </w:p>
    <w:p w14:paraId="1A51F9E7" w14:textId="77777777" w:rsidR="009853DC" w:rsidRPr="00D93AF6" w:rsidRDefault="009853DC" w:rsidP="009853DC">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55ECD3CE" w14:textId="77777777" w:rsidR="009853DC" w:rsidRPr="00D93AF6" w:rsidRDefault="009853DC" w:rsidP="009853D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(R4-2308980): Adopt the coordinate (θ, ϕ, ω) to represent the AoA pair on the measurement grid to eliminate the test point expression ambiguity, where ω demonstrates AoA1-AoA2 DL Orientation Vector.</w:t>
      </w:r>
    </w:p>
    <w:p w14:paraId="79866B36" w14:textId="77777777" w:rsidR="009853DC" w:rsidRPr="00D93AF6" w:rsidRDefault="009853DC" w:rsidP="009853DC">
      <w:pPr>
        <w:pStyle w:val="ListParagraph"/>
        <w:overflowPunct/>
        <w:autoSpaceDE/>
        <w:autoSpaceDN/>
        <w:adjustRightInd/>
        <w:spacing w:after="120"/>
        <w:ind w:left="1440"/>
        <w:textAlignment w:val="auto"/>
        <w:rPr>
          <w:rFonts w:eastAsia="SimSun"/>
          <w:szCs w:val="24"/>
          <w:lang w:eastAsia="zh-CN"/>
        </w:rPr>
      </w:pPr>
      <w:r w:rsidRPr="00D93AF6">
        <w:rPr>
          <w:noProof/>
          <w:lang w:val="en-US" w:eastAsia="zh-CN"/>
        </w:rPr>
        <w:lastRenderedPageBreak/>
        <w:drawing>
          <wp:inline distT="0" distB="0" distL="0" distR="0" wp14:anchorId="532B6D1B" wp14:editId="44059401">
            <wp:extent cx="2262695" cy="23876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71344" cy="2396726"/>
                    </a:xfrm>
                    <a:prstGeom prst="rect">
                      <a:avLst/>
                    </a:prstGeom>
                  </pic:spPr>
                </pic:pic>
              </a:graphicData>
            </a:graphic>
          </wp:inline>
        </w:drawing>
      </w:r>
      <w:r w:rsidRPr="00D93AF6">
        <w:rPr>
          <w:rFonts w:eastAsia="SimSun"/>
          <w:szCs w:val="24"/>
          <w:lang w:eastAsia="zh-CN"/>
        </w:rPr>
        <w:t xml:space="preserve">   </w:t>
      </w:r>
      <w:r w:rsidRPr="00D93AF6">
        <w:rPr>
          <w:rFonts w:eastAsia="SimSun"/>
          <w:noProof/>
          <w:szCs w:val="24"/>
          <w:lang w:val="en-US" w:eastAsia="zh-CN"/>
        </w:rPr>
        <w:drawing>
          <wp:inline distT="0" distB="0" distL="0" distR="0" wp14:anchorId="250BB31F" wp14:editId="4CE36E0C">
            <wp:extent cx="1955800" cy="2058416"/>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56663" cy="2059324"/>
                    </a:xfrm>
                    <a:prstGeom prst="rect">
                      <a:avLst/>
                    </a:prstGeom>
                    <a:noFill/>
                  </pic:spPr>
                </pic:pic>
              </a:graphicData>
            </a:graphic>
          </wp:inline>
        </w:drawing>
      </w:r>
    </w:p>
    <w:p w14:paraId="34CBED9B" w14:textId="77777777" w:rsidR="009853DC" w:rsidRPr="00D93AF6" w:rsidRDefault="009853DC" w:rsidP="009853DC">
      <w:pPr>
        <w:pStyle w:val="ListParagraph"/>
        <w:overflowPunct/>
        <w:autoSpaceDE/>
        <w:autoSpaceDN/>
        <w:adjustRightInd/>
        <w:spacing w:after="120"/>
        <w:ind w:left="1440"/>
        <w:textAlignment w:val="auto"/>
        <w:rPr>
          <w:rFonts w:eastAsia="SimSun"/>
          <w:szCs w:val="24"/>
          <w:lang w:eastAsia="zh-CN"/>
        </w:rPr>
      </w:pPr>
      <w:r w:rsidRPr="00D93AF6">
        <w:rPr>
          <w:rFonts w:eastAsia="SimSun"/>
          <w:szCs w:val="24"/>
          <w:lang w:eastAsia="zh-CN"/>
        </w:rPr>
        <w:t>Figure 1.2.1-1: Illustration of representation of AoA1-AoA2 pair (R4-2308980)</w:t>
      </w:r>
    </w:p>
    <w:p w14:paraId="0E6717DF" w14:textId="77777777" w:rsidR="009853DC" w:rsidRPr="00D93AF6" w:rsidRDefault="009853DC" w:rsidP="009853D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0F1FD3C3" w14:textId="77777777" w:rsidR="009853DC" w:rsidRPr="00D93AF6" w:rsidRDefault="009853DC" w:rsidP="009853DC">
      <w:pPr>
        <w:rPr>
          <w:iCs/>
          <w:lang w:eastAsia="zh-CN"/>
        </w:rPr>
      </w:pPr>
    </w:p>
    <w:p w14:paraId="62DF831A" w14:textId="77777777" w:rsidR="009853DC" w:rsidRPr="00D93AF6" w:rsidRDefault="009853DC" w:rsidP="009853DC">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33B573E2" w14:textId="77777777" w:rsidR="009853DC" w:rsidRPr="00D93AF6" w:rsidRDefault="009853DC" w:rsidP="009853DC">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Capture the coordinate (θ, ϕ, ω) to represent the AoA pair in TR for information.</w:t>
      </w:r>
    </w:p>
    <w:p w14:paraId="0E48A01A" w14:textId="2D42F54D" w:rsidR="009853DC" w:rsidRPr="00D93AF6" w:rsidRDefault="009853DC" w:rsidP="00497045">
      <w:pPr>
        <w:rPr>
          <w:lang w:eastAsia="ja-JP"/>
        </w:rPr>
      </w:pPr>
    </w:p>
    <w:p w14:paraId="508D0684" w14:textId="77777777" w:rsidR="000E0263" w:rsidRPr="00D93AF6" w:rsidRDefault="000E0263" w:rsidP="000E0263">
      <w:pPr>
        <w:rPr>
          <w:b/>
          <w:u w:val="single"/>
          <w:lang w:eastAsia="ko-KR"/>
        </w:rPr>
      </w:pPr>
      <w:r w:rsidRPr="00D93AF6">
        <w:rPr>
          <w:b/>
          <w:u w:val="single"/>
          <w:lang w:eastAsia="ko-KR"/>
        </w:rPr>
        <w:t>Issue 1-2-1: Far-field criteria for IFF</w:t>
      </w:r>
    </w:p>
    <w:p w14:paraId="62A2F962" w14:textId="77777777" w:rsidR="000E0263" w:rsidRPr="00D93AF6" w:rsidRDefault="000E0263" w:rsidP="000E0263">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21461871" w14:textId="77777777" w:rsidR="000E0263" w:rsidRPr="00D93AF6" w:rsidRDefault="000E0263" w:rsidP="000E0263">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1(R4-2309300): The Far-field criteria defined for the IFF UE RF test method described in clause 5.2.3 of TR 38.810 can be reused for IFF based multi-AoA test system.</w:t>
      </w:r>
    </w:p>
    <w:p w14:paraId="192479D9" w14:textId="77777777" w:rsidR="000E0263" w:rsidRPr="00D93AF6" w:rsidRDefault="000E0263" w:rsidP="000E0263">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5C3A26E0" w14:textId="77777777" w:rsidR="000E0263" w:rsidRPr="00D93AF6" w:rsidRDefault="000E0263" w:rsidP="000E0263">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3DF24FFE" w14:textId="77777777" w:rsidR="000E0263" w:rsidRPr="00D93AF6" w:rsidRDefault="000E0263" w:rsidP="000E0263">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is agreed as the starting point.</w:t>
      </w:r>
    </w:p>
    <w:p w14:paraId="7CC945F0" w14:textId="74B0AE24" w:rsidR="000E0263" w:rsidRPr="00D93AF6" w:rsidRDefault="000E0263" w:rsidP="00497045">
      <w:pPr>
        <w:rPr>
          <w:lang w:val="en-US" w:eastAsia="ja-JP"/>
        </w:rPr>
      </w:pPr>
    </w:p>
    <w:p w14:paraId="0C8B6F90" w14:textId="77777777" w:rsidR="00602424" w:rsidRPr="00D93AF6" w:rsidRDefault="00602424" w:rsidP="00602424">
      <w:pPr>
        <w:rPr>
          <w:b/>
          <w:u w:val="single"/>
          <w:lang w:eastAsia="ko-KR"/>
        </w:rPr>
      </w:pPr>
      <w:r w:rsidRPr="00D93AF6">
        <w:rPr>
          <w:b/>
          <w:u w:val="single"/>
          <w:lang w:eastAsia="ko-KR"/>
        </w:rPr>
        <w:t>Issue 1-2-2: Far-field criteria for DFF</w:t>
      </w:r>
    </w:p>
    <w:p w14:paraId="5C439C36"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28CCA699"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1(R4-2309300): The Far-field criteria defined for the DFF UE RF test method described in clause 5.2.1 of TR 38.810 can be reused for DFF based multi-AoA test system</w:t>
      </w:r>
    </w:p>
    <w:p w14:paraId="17A53E49"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771B8B53"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40870657" w14:textId="69D04CB4"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is agreed as the starting point.</w:t>
      </w:r>
    </w:p>
    <w:p w14:paraId="39159895" w14:textId="5963FE79" w:rsidR="00602424" w:rsidRPr="00D93AF6" w:rsidRDefault="00602424" w:rsidP="00497045">
      <w:pPr>
        <w:rPr>
          <w:lang w:val="en-US" w:eastAsia="ja-JP"/>
        </w:rPr>
      </w:pPr>
    </w:p>
    <w:p w14:paraId="1291A277" w14:textId="77777777" w:rsidR="00602424" w:rsidRPr="00D93AF6" w:rsidRDefault="00602424" w:rsidP="00602424">
      <w:pPr>
        <w:rPr>
          <w:b/>
          <w:u w:val="single"/>
          <w:lang w:eastAsia="ko-KR"/>
        </w:rPr>
      </w:pPr>
      <w:r w:rsidRPr="00D93AF6">
        <w:rPr>
          <w:b/>
          <w:u w:val="single"/>
          <w:lang w:eastAsia="ko-KR"/>
        </w:rPr>
        <w:t>Issue 1-3: Test procedure</w:t>
      </w:r>
    </w:p>
    <w:p w14:paraId="7812718A"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769AB1D1"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1(R4-2309435): Continue progressing in the definition of the non-parametric test approach for spherical coverage using the diagram in as baseline.</w:t>
      </w:r>
    </w:p>
    <w:p w14:paraId="27A49457" w14:textId="77777777" w:rsidR="00602424" w:rsidRPr="00D93AF6" w:rsidRDefault="00602424" w:rsidP="00602424">
      <w:pPr>
        <w:spacing w:after="120"/>
        <w:jc w:val="center"/>
        <w:rPr>
          <w:szCs w:val="24"/>
          <w:lang w:eastAsia="zh-CN"/>
        </w:rPr>
      </w:pPr>
      <w:r w:rsidRPr="00D93AF6">
        <w:rPr>
          <w:noProof/>
          <w:lang w:val="en-US" w:eastAsia="zh-CN"/>
        </w:rPr>
        <w:lastRenderedPageBreak/>
        <w:drawing>
          <wp:inline distT="0" distB="0" distL="0" distR="0" wp14:anchorId="3C875F3B" wp14:editId="305D3A91">
            <wp:extent cx="5071573" cy="7407423"/>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74055" cy="7411048"/>
                    </a:xfrm>
                    <a:prstGeom prst="rect">
                      <a:avLst/>
                    </a:prstGeom>
                    <a:noFill/>
                    <a:ln>
                      <a:noFill/>
                    </a:ln>
                  </pic:spPr>
                </pic:pic>
              </a:graphicData>
            </a:graphic>
          </wp:inline>
        </w:drawing>
      </w:r>
    </w:p>
    <w:p w14:paraId="6FDB995B" w14:textId="4C59EC4A" w:rsidR="00602424" w:rsidRPr="00D93AF6" w:rsidRDefault="00602424" w:rsidP="00602424">
      <w:pPr>
        <w:pStyle w:val="ListParagraph"/>
        <w:overflowPunct/>
        <w:autoSpaceDE/>
        <w:autoSpaceDN/>
        <w:adjustRightInd/>
        <w:spacing w:after="120"/>
        <w:ind w:left="1440"/>
        <w:jc w:val="center"/>
        <w:textAlignment w:val="auto"/>
        <w:rPr>
          <w:rFonts w:eastAsia="SimSun"/>
          <w:szCs w:val="24"/>
          <w:lang w:eastAsia="zh-CN"/>
        </w:rPr>
      </w:pPr>
      <w:r w:rsidRPr="00D93AF6">
        <w:rPr>
          <w:rFonts w:eastAsia="SimSun"/>
          <w:szCs w:val="24"/>
          <w:lang w:eastAsia="zh-CN"/>
        </w:rPr>
        <w:t>Figure 1.2.3-1: Test procedure for non-parametric test approach (R4-2309435)</w:t>
      </w:r>
    </w:p>
    <w:p w14:paraId="30CAB09F" w14:textId="77777777" w:rsidR="00602424" w:rsidRPr="00D93AF6" w:rsidRDefault="00602424" w:rsidP="00602424">
      <w:pPr>
        <w:pStyle w:val="ListParagraph"/>
        <w:overflowPunct/>
        <w:autoSpaceDE/>
        <w:autoSpaceDN/>
        <w:adjustRightInd/>
        <w:spacing w:after="120"/>
        <w:ind w:left="1440"/>
        <w:jc w:val="center"/>
        <w:textAlignment w:val="auto"/>
        <w:rPr>
          <w:rFonts w:eastAsia="SimSun"/>
          <w:szCs w:val="24"/>
          <w:lang w:eastAsia="zh-CN"/>
        </w:rPr>
      </w:pPr>
    </w:p>
    <w:p w14:paraId="28B58B2E" w14:textId="5523755A"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2E59BC7A"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43A06265"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is agreed as the starting point.</w:t>
      </w:r>
    </w:p>
    <w:p w14:paraId="7AEBA0DE" w14:textId="37A3CF02"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Updates are needed to align with the progress of </w:t>
      </w:r>
      <w:r w:rsidR="003E15CC">
        <w:rPr>
          <w:rFonts w:eastAsia="SimSun"/>
          <w:szCs w:val="24"/>
          <w:lang w:eastAsia="zh-CN"/>
        </w:rPr>
        <w:t xml:space="preserve">RF </w:t>
      </w:r>
      <w:r w:rsidRPr="00D93AF6">
        <w:rPr>
          <w:rFonts w:eastAsia="SimSun"/>
          <w:szCs w:val="24"/>
          <w:lang w:eastAsia="zh-CN"/>
        </w:rPr>
        <w:t>core requirements discussion.</w:t>
      </w:r>
    </w:p>
    <w:p w14:paraId="6C2640D2" w14:textId="28B8051C" w:rsidR="00602424" w:rsidRPr="00D93AF6" w:rsidRDefault="00602424" w:rsidP="00497045">
      <w:pPr>
        <w:rPr>
          <w:lang w:val="en-US" w:eastAsia="ja-JP"/>
        </w:rPr>
      </w:pPr>
    </w:p>
    <w:p w14:paraId="03CC94F4" w14:textId="77777777" w:rsidR="00602424" w:rsidRPr="00D93AF6" w:rsidRDefault="00602424" w:rsidP="00602424">
      <w:pPr>
        <w:rPr>
          <w:b/>
          <w:u w:val="single"/>
          <w:lang w:eastAsia="ko-KR"/>
        </w:rPr>
      </w:pPr>
      <w:r w:rsidRPr="00D93AF6">
        <w:rPr>
          <w:b/>
          <w:u w:val="single"/>
          <w:lang w:eastAsia="ko-KR"/>
        </w:rPr>
        <w:lastRenderedPageBreak/>
        <w:t>Issue 1-4-1: Absolute probe locations</w:t>
      </w:r>
    </w:p>
    <w:p w14:paraId="5A7AF65B"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3A49F739"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(R4-2309469): Consider the previous agreement for absolute probe locations for UE RF testing unnecessary for multi-Rx UE RF testing using the proposed test system and testing methodology.</w:t>
      </w:r>
    </w:p>
    <w:p w14:paraId="429E0A57"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3B14B2B0"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2417D17F"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is agreed.</w:t>
      </w:r>
    </w:p>
    <w:p w14:paraId="40CCBA85"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FFS on whether the probe location should be on the measurement grid.</w:t>
      </w:r>
    </w:p>
    <w:p w14:paraId="36A8C64F" w14:textId="021A3736" w:rsidR="00602424" w:rsidRPr="00D93AF6" w:rsidRDefault="00602424" w:rsidP="00497045">
      <w:pPr>
        <w:rPr>
          <w:lang w:val="en-US" w:eastAsia="ja-JP"/>
        </w:rPr>
      </w:pPr>
    </w:p>
    <w:p w14:paraId="11FBD7E1" w14:textId="77777777" w:rsidR="00602424" w:rsidRPr="00D93AF6" w:rsidRDefault="00602424" w:rsidP="00602424">
      <w:pPr>
        <w:rPr>
          <w:b/>
          <w:u w:val="single"/>
          <w:lang w:eastAsia="ko-KR"/>
        </w:rPr>
      </w:pPr>
      <w:r w:rsidRPr="00D93AF6">
        <w:rPr>
          <w:b/>
          <w:u w:val="single"/>
          <w:lang w:eastAsia="ko-KR"/>
        </w:rPr>
        <w:t>Issue 1-4-2: Example of measurement setup implementation</w:t>
      </w:r>
    </w:p>
    <w:p w14:paraId="05958C49"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5533932D"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(R4-2309469): Consider any 2 AoA RRM test system with probes in the xz plane and the required relative angular offsets for Multi-Rx testing suitable for Multi-Rx OTA spherical coverage test cases.</w:t>
      </w:r>
    </w:p>
    <w:p w14:paraId="667B478F" w14:textId="260E28E8"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2275315C"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04F36C4B"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is agreed.</w:t>
      </w:r>
    </w:p>
    <w:p w14:paraId="42C4C665" w14:textId="702D9AA9" w:rsidR="00602424" w:rsidRPr="00D93AF6" w:rsidRDefault="00602424" w:rsidP="00497045">
      <w:pPr>
        <w:rPr>
          <w:lang w:val="en-US" w:eastAsia="ja-JP"/>
        </w:rPr>
      </w:pPr>
    </w:p>
    <w:p w14:paraId="0F1693B7" w14:textId="1DE9BA06" w:rsidR="00602424" w:rsidRPr="00D93AF6" w:rsidRDefault="00602424" w:rsidP="00602424">
      <w:pPr>
        <w:pStyle w:val="Heading1"/>
        <w:numPr>
          <w:ilvl w:val="0"/>
          <w:numId w:val="0"/>
        </w:numPr>
        <w:ind w:left="432" w:hanging="432"/>
        <w:rPr>
          <w:lang w:eastAsia="ja-JP"/>
        </w:rPr>
      </w:pPr>
      <w:r w:rsidRPr="00D93AF6">
        <w:rPr>
          <w:lang w:eastAsia="ja-JP"/>
        </w:rPr>
        <w:t>Topic #</w:t>
      </w:r>
      <w:r w:rsidRPr="00D93AF6">
        <w:rPr>
          <w:lang w:eastAsia="ja-JP"/>
        </w:rPr>
        <w:t>2</w:t>
      </w:r>
      <w:r w:rsidRPr="00D93AF6">
        <w:rPr>
          <w:lang w:eastAsia="ja-JP"/>
        </w:rPr>
        <w:t xml:space="preserve">: Test method for UE </w:t>
      </w:r>
      <w:r w:rsidRPr="00D93AF6">
        <w:rPr>
          <w:lang w:eastAsia="ja-JP"/>
        </w:rPr>
        <w:t>RRM</w:t>
      </w:r>
    </w:p>
    <w:p w14:paraId="6D5577F9" w14:textId="77777777" w:rsidR="00602424" w:rsidRPr="00D93AF6" w:rsidRDefault="00602424" w:rsidP="00602424">
      <w:pPr>
        <w:rPr>
          <w:b/>
          <w:u w:val="single"/>
          <w:lang w:eastAsia="ko-KR"/>
        </w:rPr>
      </w:pPr>
      <w:r w:rsidRPr="00D93AF6">
        <w:rPr>
          <w:b/>
          <w:u w:val="single"/>
          <w:lang w:eastAsia="ko-KR"/>
        </w:rPr>
        <w:t>Issue 2-1-1: Testability analysis for the RRM testing scenarios</w:t>
      </w:r>
    </w:p>
    <w:p w14:paraId="02E873D6"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2AB08D45"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RAN4 consider the following 3 scenarios to study the testability issue. Input from TE vendors is encouraged.</w:t>
      </w:r>
    </w:p>
    <w:p w14:paraId="52285035" w14:textId="77777777" w:rsidR="00602424" w:rsidRPr="00D93AF6" w:rsidRDefault="00602424" w:rsidP="00602424">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rPr>
          <w:szCs w:val="24"/>
          <w:lang w:eastAsia="zh-CN"/>
        </w:rPr>
        <w:t>Scenario 1(</w:t>
      </w:r>
      <w:r w:rsidRPr="00D93AF6">
        <w:rPr>
          <w:rFonts w:eastAsia="SimSun"/>
          <w:szCs w:val="24"/>
          <w:lang w:eastAsia="zh-CN"/>
        </w:rPr>
        <w:t>R4-2309245</w:t>
      </w:r>
      <w:r w:rsidRPr="00D93AF6">
        <w:rPr>
          <w:szCs w:val="24"/>
          <w:lang w:eastAsia="zh-CN"/>
        </w:rPr>
        <w:t>): probe number for multiple AoA test system is at least 2</w:t>
      </w:r>
    </w:p>
    <w:p w14:paraId="6F99DE50" w14:textId="77777777" w:rsidR="00602424" w:rsidRPr="00D93AF6" w:rsidRDefault="00602424" w:rsidP="00602424">
      <w:pPr>
        <w:jc w:val="center"/>
      </w:pPr>
      <w:r w:rsidRPr="00D93AF6">
        <w:object w:dxaOrig="12720" w:dyaOrig="6420" w14:anchorId="74914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302.5pt;height:153pt" o:ole="">
            <v:imagedata r:id="rId14" o:title=""/>
          </v:shape>
          <o:OLEObject Type="Embed" ProgID="Visio.Drawing.15" ShapeID="_x0000_i1035" DrawAspect="Content" ObjectID="_1746457776" r:id="rId15"/>
        </w:object>
      </w:r>
    </w:p>
    <w:p w14:paraId="7CF293D4" w14:textId="77777777" w:rsidR="00602424" w:rsidRPr="00D93AF6" w:rsidRDefault="00602424" w:rsidP="00602424">
      <w:pPr>
        <w:jc w:val="center"/>
        <w:rPr>
          <w:szCs w:val="24"/>
          <w:lang w:eastAsia="zh-CN"/>
        </w:rPr>
      </w:pPr>
      <w:r w:rsidRPr="00D93AF6">
        <w:rPr>
          <w:szCs w:val="24"/>
          <w:lang w:eastAsia="zh-CN"/>
        </w:rPr>
        <w:t>Figure 2.2.2-1: Illustration of scenario 1 (R4-2309245)</w:t>
      </w:r>
    </w:p>
    <w:p w14:paraId="011E1418" w14:textId="77777777" w:rsidR="00602424" w:rsidRPr="00D93AF6" w:rsidRDefault="00602424" w:rsidP="00602424">
      <w:pPr>
        <w:spacing w:after="120"/>
        <w:ind w:left="936"/>
        <w:rPr>
          <w:szCs w:val="24"/>
          <w:lang w:eastAsia="zh-CN"/>
        </w:rPr>
      </w:pPr>
    </w:p>
    <w:p w14:paraId="79F59BBB" w14:textId="77777777" w:rsidR="00602424" w:rsidRPr="00D93AF6" w:rsidRDefault="00602424" w:rsidP="00602424">
      <w:pPr>
        <w:pStyle w:val="ListParagraph"/>
        <w:numPr>
          <w:ilvl w:val="2"/>
          <w:numId w:val="22"/>
        </w:numPr>
        <w:contextualSpacing w:val="0"/>
        <w:rPr>
          <w:rFonts w:eastAsia="SimSun"/>
          <w:szCs w:val="24"/>
          <w:lang w:eastAsia="zh-CN"/>
        </w:rPr>
      </w:pPr>
      <w:r w:rsidRPr="00D93AF6">
        <w:rPr>
          <w:rFonts w:eastAsia="SimSun"/>
          <w:szCs w:val="24"/>
          <w:lang w:eastAsia="zh-CN"/>
        </w:rPr>
        <w:t>Scenario 2 (R4-2309245): probe number for multiple AoA test system is at least 3</w:t>
      </w:r>
    </w:p>
    <w:p w14:paraId="5E644BEB" w14:textId="77777777" w:rsidR="00602424" w:rsidRPr="00D93AF6" w:rsidRDefault="00602424" w:rsidP="00602424">
      <w:pPr>
        <w:jc w:val="center"/>
      </w:pPr>
      <w:r w:rsidRPr="00D93AF6">
        <w:object w:dxaOrig="12312" w:dyaOrig="6420" w14:anchorId="03EC0502">
          <v:shape id="_x0000_i1036" type="#_x0000_t75" style="width:287.5pt;height:150.5pt" o:ole="">
            <v:imagedata r:id="rId16" o:title=""/>
          </v:shape>
          <o:OLEObject Type="Embed" ProgID="Visio.Drawing.15" ShapeID="_x0000_i1036" DrawAspect="Content" ObjectID="_1746457777" r:id="rId17"/>
        </w:object>
      </w:r>
    </w:p>
    <w:p w14:paraId="48C16CD5" w14:textId="77777777" w:rsidR="00602424" w:rsidRPr="00D93AF6" w:rsidRDefault="00602424" w:rsidP="00602424">
      <w:pPr>
        <w:jc w:val="center"/>
        <w:rPr>
          <w:szCs w:val="24"/>
          <w:lang w:eastAsia="zh-CN"/>
        </w:rPr>
      </w:pPr>
      <w:r w:rsidRPr="00D93AF6">
        <w:rPr>
          <w:szCs w:val="24"/>
          <w:lang w:eastAsia="zh-CN"/>
        </w:rPr>
        <w:t>Figure 2.2.2-2: Illustration of scenario 2 (R4-2309245)</w:t>
      </w:r>
    </w:p>
    <w:p w14:paraId="3F7907E3" w14:textId="77777777" w:rsidR="00602424" w:rsidRPr="00D93AF6" w:rsidRDefault="00602424" w:rsidP="00602424">
      <w:pPr>
        <w:pStyle w:val="ListParagraph"/>
        <w:numPr>
          <w:ilvl w:val="2"/>
          <w:numId w:val="22"/>
        </w:numPr>
        <w:contextualSpacing w:val="0"/>
        <w:rPr>
          <w:rFonts w:eastAsia="SimSun"/>
          <w:szCs w:val="24"/>
          <w:lang w:eastAsia="zh-CN"/>
        </w:rPr>
      </w:pPr>
      <w:r w:rsidRPr="00D93AF6">
        <w:rPr>
          <w:rFonts w:eastAsia="SimSun"/>
          <w:szCs w:val="24"/>
          <w:lang w:eastAsia="zh-CN"/>
        </w:rPr>
        <w:t>Scenario 3 (R4-2309245, R4-2309305): probe number for multiple AoA test system is at least 4 (e.g., TCI switching case from dual TCI to dual TCI case)</w:t>
      </w:r>
    </w:p>
    <w:p w14:paraId="21306782" w14:textId="77777777" w:rsidR="00602424" w:rsidRPr="00D93AF6" w:rsidRDefault="00602424" w:rsidP="00602424">
      <w:pPr>
        <w:ind w:left="2016"/>
      </w:pPr>
      <w:r w:rsidRPr="00D93AF6">
        <w:object w:dxaOrig="12972" w:dyaOrig="6420" w14:anchorId="1088DB65">
          <v:shape id="_x0000_i1066" type="#_x0000_t75" style="width:299pt;height:149pt" o:ole="">
            <v:imagedata r:id="rId18" o:title=""/>
          </v:shape>
          <o:OLEObject Type="Embed" ProgID="Visio.Drawing.15" ShapeID="_x0000_i1066" DrawAspect="Content" ObjectID="_1746457778" r:id="rId19"/>
        </w:object>
      </w:r>
    </w:p>
    <w:p w14:paraId="58FFAA1C" w14:textId="77777777" w:rsidR="00602424" w:rsidRPr="00D93AF6" w:rsidRDefault="00602424" w:rsidP="00602424">
      <w:pPr>
        <w:jc w:val="center"/>
        <w:rPr>
          <w:szCs w:val="24"/>
          <w:lang w:eastAsia="zh-CN"/>
        </w:rPr>
      </w:pPr>
      <w:r w:rsidRPr="00D93AF6">
        <w:rPr>
          <w:szCs w:val="24"/>
          <w:lang w:eastAsia="zh-CN"/>
        </w:rPr>
        <w:t>Figure 2.2.2-3: Illustration of scenario 3 (R4-2309245)</w:t>
      </w:r>
    </w:p>
    <w:p w14:paraId="632DE3BD"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(R4-2309305): Feasibility/testability of Scenario 3, e.g., TCI switching case from dual TCI to dual TCI is deprioritized and postponed until RRM has some conclusions on it</w:t>
      </w:r>
    </w:p>
    <w:p w14:paraId="515D7FFD" w14:textId="6CB3C978"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r w:rsidR="00B152C1" w:rsidRPr="00D93AF6">
        <w:rPr>
          <w:rFonts w:eastAsia="SimSun"/>
          <w:szCs w:val="24"/>
          <w:lang w:eastAsia="zh-CN"/>
        </w:rPr>
        <w:t>s</w:t>
      </w:r>
      <w:r w:rsidRPr="00D93AF6">
        <w:rPr>
          <w:rFonts w:eastAsia="SimSun"/>
          <w:szCs w:val="24"/>
          <w:lang w:eastAsia="zh-CN"/>
        </w:rPr>
        <w:t xml:space="preserve">: </w:t>
      </w:r>
    </w:p>
    <w:p w14:paraId="3DA8EA29"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Prioritize scenario 1, encourage companies’ input on scenario 2 and 3. </w:t>
      </w:r>
    </w:p>
    <w:p w14:paraId="33167EA0" w14:textId="086C4BE9" w:rsidR="00602424" w:rsidRPr="00D93AF6" w:rsidRDefault="00602424" w:rsidP="00602424">
      <w:pPr>
        <w:pStyle w:val="ListParagraph"/>
        <w:numPr>
          <w:ilvl w:val="2"/>
          <w:numId w:val="22"/>
        </w:numPr>
        <w:overflowPunct/>
        <w:autoSpaceDE/>
        <w:autoSpaceDN/>
        <w:adjustRightInd/>
        <w:spacing w:after="120"/>
        <w:contextualSpacing w:val="0"/>
        <w:textAlignment w:val="auto"/>
        <w:rPr>
          <w:szCs w:val="24"/>
          <w:lang w:eastAsia="zh-CN"/>
        </w:rPr>
      </w:pPr>
      <w:r w:rsidRPr="00D93AF6">
        <w:rPr>
          <w:szCs w:val="24"/>
          <w:lang w:eastAsia="zh-CN"/>
        </w:rPr>
        <w:t>Whether scenario 2 and 3 can be included into test TR subject to RRM session agreements.</w:t>
      </w:r>
    </w:p>
    <w:p w14:paraId="12D061D5" w14:textId="18D17FC1" w:rsidR="00602424" w:rsidRPr="00D93AF6" w:rsidRDefault="00602424" w:rsidP="00497045">
      <w:pPr>
        <w:rPr>
          <w:lang w:eastAsia="ja-JP"/>
        </w:rPr>
      </w:pPr>
    </w:p>
    <w:p w14:paraId="10639DCA" w14:textId="77777777" w:rsidR="00602424" w:rsidRPr="00D93AF6" w:rsidRDefault="00602424" w:rsidP="00602424">
      <w:pPr>
        <w:rPr>
          <w:b/>
          <w:u w:val="single"/>
          <w:lang w:eastAsia="ko-KR"/>
        </w:rPr>
      </w:pPr>
      <w:r w:rsidRPr="00D93AF6">
        <w:rPr>
          <w:b/>
          <w:u w:val="single"/>
          <w:lang w:eastAsia="ko-KR"/>
        </w:rPr>
        <w:t>Issue 2-2-1: SINR control for fine beam</w:t>
      </w:r>
    </w:p>
    <w:p w14:paraId="58A8F7F8"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653DB7AA"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(R4-2309245): For fine beam, the lower bound of G1/G2 is the gain different from legacy REFSENS and legacy EIS spherical coverage.</w:t>
      </w:r>
    </w:p>
    <w:p w14:paraId="0BBBD50B" w14:textId="77777777" w:rsidR="00602424" w:rsidRPr="00D93AF6" w:rsidRDefault="00602424" w:rsidP="00602424">
      <w:pPr>
        <w:pStyle w:val="ListParagraph"/>
        <w:overflowPunct/>
        <w:autoSpaceDE/>
        <w:autoSpaceDN/>
        <w:adjustRightInd/>
        <w:spacing w:after="120"/>
        <w:ind w:left="936"/>
        <w:jc w:val="center"/>
        <w:textAlignment w:val="auto"/>
        <w:rPr>
          <w:rFonts w:eastAsia="SimSun"/>
          <w:szCs w:val="24"/>
          <w:lang w:eastAsia="zh-CN"/>
        </w:rPr>
      </w:pPr>
      <w:r w:rsidRPr="00D93AF6">
        <w:rPr>
          <w:noProof/>
        </w:rPr>
        <w:lastRenderedPageBreak/>
        <w:drawing>
          <wp:inline distT="0" distB="0" distL="0" distR="0" wp14:anchorId="766FE257" wp14:editId="3D4B0E9B">
            <wp:extent cx="4495765" cy="26448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10299" cy="2653365"/>
                    </a:xfrm>
                    <a:prstGeom prst="rect">
                      <a:avLst/>
                    </a:prstGeom>
                    <a:noFill/>
                    <a:ln>
                      <a:noFill/>
                    </a:ln>
                  </pic:spPr>
                </pic:pic>
              </a:graphicData>
            </a:graphic>
          </wp:inline>
        </w:drawing>
      </w:r>
    </w:p>
    <w:p w14:paraId="3FE8CA22"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72AAF1CE" w14:textId="0F8D01A6" w:rsidR="00B152C1" w:rsidRPr="00D93AF6" w:rsidRDefault="00B152C1" w:rsidP="00B152C1">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r w:rsidRPr="00D93AF6">
        <w:rPr>
          <w:rFonts w:eastAsia="SimSun"/>
          <w:szCs w:val="24"/>
          <w:lang w:eastAsia="zh-CN"/>
        </w:rPr>
        <w:t>s</w:t>
      </w:r>
      <w:r w:rsidRPr="00D93AF6">
        <w:rPr>
          <w:rFonts w:eastAsia="SimSun"/>
          <w:szCs w:val="24"/>
          <w:lang w:eastAsia="zh-CN"/>
        </w:rPr>
        <w:t>:</w:t>
      </w:r>
    </w:p>
    <w:p w14:paraId="230B5437" w14:textId="77777777" w:rsidR="00B152C1" w:rsidRPr="00D93AF6" w:rsidRDefault="00B152C1" w:rsidP="00B152C1">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agreed as starting point</w:t>
      </w:r>
    </w:p>
    <w:p w14:paraId="381ECB22" w14:textId="4701EE44" w:rsidR="00602424" w:rsidRPr="00D93AF6" w:rsidRDefault="00602424" w:rsidP="00497045">
      <w:pPr>
        <w:rPr>
          <w:lang w:eastAsia="ja-JP"/>
        </w:rPr>
      </w:pPr>
    </w:p>
    <w:p w14:paraId="1E193BF4" w14:textId="77777777" w:rsidR="00602424" w:rsidRPr="00D93AF6" w:rsidRDefault="00602424" w:rsidP="00602424">
      <w:pPr>
        <w:rPr>
          <w:b/>
          <w:u w:val="single"/>
          <w:lang w:eastAsia="ko-KR"/>
        </w:rPr>
      </w:pPr>
      <w:r w:rsidRPr="00D93AF6">
        <w:rPr>
          <w:b/>
          <w:u w:val="single"/>
          <w:lang w:eastAsia="ko-KR"/>
        </w:rPr>
        <w:t>Issue 2-2-2: SINR control for rough beam</w:t>
      </w:r>
    </w:p>
    <w:p w14:paraId="491DC65F"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16501656"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(R4-2309245): For rough beam, the lower bound of G1/G2 is smaller than that for fine beam. FFS on the difference of lower bound of G1/G2 between fine and rough beams.</w:t>
      </w:r>
    </w:p>
    <w:p w14:paraId="1975A355"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640C302C" w14:textId="70EDEA9C" w:rsidR="00B152C1" w:rsidRPr="00D93AF6" w:rsidRDefault="00B152C1" w:rsidP="00B152C1">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r w:rsidR="00F229A6" w:rsidRPr="00D93AF6">
        <w:rPr>
          <w:rFonts w:eastAsia="SimSun"/>
          <w:szCs w:val="24"/>
          <w:lang w:eastAsia="zh-CN"/>
        </w:rPr>
        <w:t>s</w:t>
      </w:r>
      <w:r w:rsidRPr="00D93AF6">
        <w:rPr>
          <w:rFonts w:eastAsia="SimSun"/>
          <w:szCs w:val="24"/>
          <w:lang w:eastAsia="zh-CN"/>
        </w:rPr>
        <w:t xml:space="preserve">: </w:t>
      </w:r>
    </w:p>
    <w:p w14:paraId="42A0FFA5" w14:textId="77777777" w:rsidR="00B152C1" w:rsidRPr="00D93AF6" w:rsidRDefault="00B152C1" w:rsidP="00B152C1">
      <w:pPr>
        <w:pStyle w:val="ListParagraph"/>
        <w:numPr>
          <w:ilvl w:val="1"/>
          <w:numId w:val="22"/>
        </w:numPr>
        <w:overflowPunct/>
        <w:autoSpaceDE/>
        <w:autoSpaceDN/>
        <w:adjustRightInd/>
        <w:spacing w:after="120"/>
        <w:ind w:left="1440"/>
        <w:contextualSpacing w:val="0"/>
        <w:textAlignment w:val="auto"/>
      </w:pPr>
      <w:r w:rsidRPr="00D93AF6">
        <w:rPr>
          <w:rFonts w:eastAsia="SimSun"/>
          <w:szCs w:val="24"/>
          <w:lang w:eastAsia="zh-CN"/>
        </w:rPr>
        <w:t>FFS on the difference of lower bound of G1/G2 between fine and rough beams.</w:t>
      </w:r>
    </w:p>
    <w:p w14:paraId="6D5536D6" w14:textId="77777777" w:rsidR="00602424" w:rsidRPr="00D93AF6" w:rsidRDefault="00602424" w:rsidP="00602424">
      <w:pPr>
        <w:rPr>
          <w:lang w:eastAsia="ja-JP"/>
        </w:rPr>
      </w:pPr>
    </w:p>
    <w:p w14:paraId="79259019" w14:textId="435A4D78" w:rsidR="00602424" w:rsidRPr="00D93AF6" w:rsidRDefault="00602424" w:rsidP="00602424">
      <w:pPr>
        <w:pStyle w:val="Heading1"/>
        <w:numPr>
          <w:ilvl w:val="0"/>
          <w:numId w:val="0"/>
        </w:numPr>
        <w:ind w:left="432" w:hanging="432"/>
        <w:rPr>
          <w:lang w:eastAsia="ja-JP"/>
        </w:rPr>
      </w:pPr>
      <w:r w:rsidRPr="00D93AF6">
        <w:rPr>
          <w:lang w:eastAsia="ja-JP"/>
        </w:rPr>
        <w:t>Topic #</w:t>
      </w:r>
      <w:r w:rsidRPr="00D93AF6">
        <w:rPr>
          <w:lang w:eastAsia="ja-JP"/>
        </w:rPr>
        <w:t>3</w:t>
      </w:r>
      <w:r w:rsidRPr="00D93AF6">
        <w:rPr>
          <w:lang w:eastAsia="ja-JP"/>
        </w:rPr>
        <w:t xml:space="preserve">: Test method for UE </w:t>
      </w:r>
      <w:r w:rsidRPr="00D93AF6">
        <w:rPr>
          <w:lang w:eastAsia="ja-JP"/>
        </w:rPr>
        <w:t>Demodulation</w:t>
      </w:r>
    </w:p>
    <w:p w14:paraId="0CC49A04" w14:textId="77777777" w:rsidR="00602424" w:rsidRPr="00D93AF6" w:rsidRDefault="00602424" w:rsidP="00497045">
      <w:pPr>
        <w:rPr>
          <w:lang w:eastAsia="ja-JP"/>
        </w:rPr>
      </w:pPr>
    </w:p>
    <w:p w14:paraId="47D55BED" w14:textId="77777777" w:rsidR="00602424" w:rsidRPr="00D93AF6" w:rsidRDefault="00602424" w:rsidP="00602424">
      <w:pPr>
        <w:rPr>
          <w:b/>
          <w:u w:val="single"/>
          <w:lang w:eastAsia="ko-KR"/>
        </w:rPr>
      </w:pPr>
      <w:r w:rsidRPr="00D93AF6">
        <w:rPr>
          <w:b/>
          <w:u w:val="single"/>
          <w:lang w:eastAsia="ko-KR"/>
        </w:rPr>
        <w:t>Issue 3-1-1: DL SNR reference point</w:t>
      </w:r>
    </w:p>
    <w:p w14:paraId="5F34642B"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77F3B3FD"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(R4-2309307): RAN4 to specify SNR at the reference point per angle of arrival.</w:t>
      </w:r>
    </w:p>
    <w:p w14:paraId="5B4CE01A"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650B266A" w14:textId="17BE0C63" w:rsidR="00F229A6" w:rsidRPr="00D93AF6" w:rsidRDefault="00F229A6" w:rsidP="00F229A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r w:rsidRPr="00D93AF6">
        <w:rPr>
          <w:rFonts w:eastAsia="SimSun"/>
          <w:szCs w:val="24"/>
          <w:lang w:eastAsia="zh-CN"/>
        </w:rPr>
        <w:t>s</w:t>
      </w:r>
      <w:r w:rsidRPr="00D93AF6">
        <w:rPr>
          <w:rFonts w:eastAsia="SimSun"/>
          <w:szCs w:val="24"/>
          <w:lang w:eastAsia="zh-CN"/>
        </w:rPr>
        <w:t>:</w:t>
      </w:r>
    </w:p>
    <w:p w14:paraId="77CDAFCF" w14:textId="77777777" w:rsidR="00F229A6" w:rsidRPr="00D93AF6" w:rsidRDefault="00F229A6" w:rsidP="00F229A6">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agreed</w:t>
      </w:r>
    </w:p>
    <w:p w14:paraId="65487B23" w14:textId="77777777" w:rsidR="00602424" w:rsidRPr="00D93AF6" w:rsidRDefault="00602424" w:rsidP="00602424">
      <w:pPr>
        <w:rPr>
          <w:i/>
          <w:lang w:eastAsia="zh-CN"/>
        </w:rPr>
      </w:pPr>
    </w:p>
    <w:p w14:paraId="28A8D99D" w14:textId="77777777" w:rsidR="00602424" w:rsidRPr="00D93AF6" w:rsidRDefault="00602424" w:rsidP="00602424">
      <w:pPr>
        <w:rPr>
          <w:b/>
          <w:u w:val="single"/>
          <w:lang w:eastAsia="ko-KR"/>
        </w:rPr>
      </w:pPr>
      <w:r w:rsidRPr="00D93AF6">
        <w:rPr>
          <w:b/>
          <w:u w:val="single"/>
          <w:lang w:eastAsia="ko-KR"/>
        </w:rPr>
        <w:t>Issue 3-1-2: Difference between reference point SNR and baseband SNR</w:t>
      </w:r>
    </w:p>
    <w:p w14:paraId="70B1308D"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58A08D3A"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RAN4 to confirm the test direction should guarantee 1dB difference between Reference point SNR and Baseband SNR in multi-Rx demodulation test.</w:t>
      </w:r>
    </w:p>
    <w:p w14:paraId="2256DB97"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72D7924F" w14:textId="133FF59C" w:rsidR="00F229A6" w:rsidRPr="00D93AF6" w:rsidRDefault="00F229A6" w:rsidP="00F229A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r w:rsidRPr="00D93AF6">
        <w:rPr>
          <w:rFonts w:eastAsia="SimSun"/>
          <w:szCs w:val="24"/>
          <w:lang w:eastAsia="zh-CN"/>
        </w:rPr>
        <w:t>s</w:t>
      </w:r>
      <w:r w:rsidRPr="00D93AF6">
        <w:rPr>
          <w:rFonts w:eastAsia="SimSun"/>
          <w:szCs w:val="24"/>
          <w:lang w:eastAsia="zh-CN"/>
        </w:rPr>
        <w:t>:</w:t>
      </w:r>
    </w:p>
    <w:p w14:paraId="5314D48A" w14:textId="77777777" w:rsidR="00F229A6" w:rsidRPr="00D93AF6" w:rsidRDefault="00F229A6" w:rsidP="00F229A6">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lastRenderedPageBreak/>
        <w:t>Option 1 agreed</w:t>
      </w:r>
    </w:p>
    <w:p w14:paraId="422B174D" w14:textId="77777777" w:rsidR="00602424" w:rsidRPr="00D93AF6" w:rsidRDefault="00602424" w:rsidP="00602424">
      <w:pPr>
        <w:rPr>
          <w:b/>
          <w:u w:val="single"/>
          <w:lang w:eastAsia="ko-KR"/>
        </w:rPr>
      </w:pPr>
      <w:r w:rsidRPr="00D93AF6">
        <w:rPr>
          <w:b/>
          <w:u w:val="single"/>
          <w:lang w:eastAsia="ko-KR"/>
        </w:rPr>
        <w:t>Issue 3-1-3: Noc level configuration</w:t>
      </w:r>
    </w:p>
    <w:p w14:paraId="0A29B766"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7D6D7009"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RAN4 to agree the wanted noise, i.e., Noc level is set by the below equation for multi-Rx demodulation test on band Y:</w:t>
      </w:r>
    </w:p>
    <w:p w14:paraId="6A6FFB02" w14:textId="77777777" w:rsidR="00602424" w:rsidRPr="00D93AF6" w:rsidRDefault="00602424" w:rsidP="00602424">
      <w:pPr>
        <w:pStyle w:val="ListParagraph"/>
        <w:numPr>
          <w:ilvl w:val="2"/>
          <w:numId w:val="22"/>
        </w:numPr>
        <w:overflowPunct/>
        <w:autoSpaceDE/>
        <w:autoSpaceDN/>
        <w:adjustRightInd/>
        <w:spacing w:after="120"/>
        <w:contextualSpacing w:val="0"/>
        <w:textAlignment w:val="auto"/>
        <w:rPr>
          <w:rFonts w:eastAsia="SimSun"/>
          <w:szCs w:val="24"/>
          <w:lang w:eastAsia="zh-CN"/>
        </w:rPr>
      </w:pPr>
      <w:r w:rsidRPr="00D93AF6">
        <w:t>Noc = REFSENS</w:t>
      </w:r>
      <w:r w:rsidRPr="00D93AF6">
        <w:rPr>
          <w:vertAlign w:val="subscript"/>
        </w:rPr>
        <w:t>PC3, band Y, 50MHz</w:t>
      </w:r>
      <w:r w:rsidRPr="00D93AF6">
        <w:t xml:space="preserve"> -10log</w:t>
      </w:r>
      <w:r w:rsidRPr="00D93AF6">
        <w:rPr>
          <w:vertAlign w:val="subscript"/>
        </w:rPr>
        <w:t>10</w:t>
      </w:r>
      <w:r w:rsidRPr="00D93AF6">
        <w:t>(SCS</w:t>
      </w:r>
      <w:r w:rsidRPr="00D93AF6">
        <w:rPr>
          <w:vertAlign w:val="subscript"/>
        </w:rPr>
        <w:t>REFSENS</w:t>
      </w:r>
      <w:r w:rsidRPr="00D93AF6">
        <w:t xml:space="preserve"> x PRB</w:t>
      </w:r>
      <w:r w:rsidRPr="00D93AF6">
        <w:rPr>
          <w:vertAlign w:val="subscript"/>
        </w:rPr>
        <w:t>REFSENS</w:t>
      </w:r>
      <w:r w:rsidRPr="00D93AF6">
        <w:t xml:space="preserve"> x 12) - SNR</w:t>
      </w:r>
      <w:r w:rsidRPr="00D93AF6">
        <w:rPr>
          <w:vertAlign w:val="subscript"/>
        </w:rPr>
        <w:t>REFSENS</w:t>
      </w:r>
      <w:r w:rsidRPr="00D93AF6">
        <w:t xml:space="preserve"> + ∆</w:t>
      </w:r>
      <w:r w:rsidRPr="00D93AF6">
        <w:rPr>
          <w:vertAlign w:val="subscript"/>
        </w:rPr>
        <w:t xml:space="preserve">thermal </w:t>
      </w:r>
      <w:r w:rsidRPr="00D93AF6">
        <w:t xml:space="preserve">+ X, where </w:t>
      </w:r>
    </w:p>
    <w:p w14:paraId="64FD71BD" w14:textId="77777777" w:rsidR="00602424" w:rsidRPr="00D93AF6" w:rsidRDefault="00602424" w:rsidP="00602424">
      <w:pPr>
        <w:pStyle w:val="B1"/>
        <w:numPr>
          <w:ilvl w:val="3"/>
          <w:numId w:val="22"/>
        </w:numPr>
      </w:pPr>
      <w:r w:rsidRPr="00D93AF6">
        <w:t>REFSENS</w:t>
      </w:r>
      <w:r w:rsidRPr="00D93AF6">
        <w:rPr>
          <w:vertAlign w:val="subscript"/>
        </w:rPr>
        <w:t>PC3, band Y, 50MHz</w:t>
      </w:r>
      <w:r w:rsidRPr="00D93AF6">
        <w:t xml:space="preserve"> is the REFSENS value in dBm specified for Power Class 3 UE in band Y for 50MHz channel bandwidth in TS 38.101-2 Table 7.3.2.3-1</w:t>
      </w:r>
      <w:r w:rsidRPr="00D93AF6">
        <w:rPr>
          <w:iCs/>
          <w:lang w:eastAsia="ja-JP"/>
        </w:rPr>
        <w:t>, [dBm/Hz]</w:t>
      </w:r>
    </w:p>
    <w:p w14:paraId="6A013CB8" w14:textId="77777777" w:rsidR="00602424" w:rsidRPr="00D93AF6" w:rsidRDefault="00602424" w:rsidP="00602424">
      <w:pPr>
        <w:pStyle w:val="B1"/>
        <w:numPr>
          <w:ilvl w:val="3"/>
          <w:numId w:val="22"/>
        </w:numPr>
      </w:pPr>
      <w:r w:rsidRPr="00D93AF6">
        <w:t>SCS</w:t>
      </w:r>
      <w:r w:rsidRPr="00D93AF6">
        <w:rPr>
          <w:vertAlign w:val="subscript"/>
        </w:rPr>
        <w:t>REFSENS</w:t>
      </w:r>
      <w:r w:rsidRPr="00D93AF6">
        <w:t xml:space="preserve"> is a subcarrier spacing associated with N</w:t>
      </w:r>
      <w:r w:rsidRPr="00D93AF6">
        <w:rPr>
          <w:vertAlign w:val="subscript"/>
        </w:rPr>
        <w:t>RB</w:t>
      </w:r>
      <w:r w:rsidRPr="00D93AF6">
        <w:t xml:space="preserve"> for 50MHz in TS 38.101-2 Table 5.3.2-1, chosen as 120kHz. </w:t>
      </w:r>
    </w:p>
    <w:p w14:paraId="4C834F9C" w14:textId="77777777" w:rsidR="00602424" w:rsidRPr="00D93AF6" w:rsidRDefault="00602424" w:rsidP="00602424">
      <w:pPr>
        <w:pStyle w:val="B1"/>
        <w:numPr>
          <w:ilvl w:val="3"/>
          <w:numId w:val="22"/>
        </w:numPr>
      </w:pPr>
      <w:r w:rsidRPr="00D93AF6">
        <w:t>PRB</w:t>
      </w:r>
      <w:r w:rsidRPr="00D93AF6">
        <w:rPr>
          <w:vertAlign w:val="subscript"/>
        </w:rPr>
        <w:t>REFSENS</w:t>
      </w:r>
      <w:r w:rsidRPr="00D93AF6">
        <w:t xml:space="preserve"> is N</w:t>
      </w:r>
      <w:r w:rsidRPr="00D93AF6">
        <w:rPr>
          <w:vertAlign w:val="subscript"/>
        </w:rPr>
        <w:t>RB</w:t>
      </w:r>
      <w:r w:rsidRPr="00D93AF6">
        <w:t xml:space="preserve"> associated with subcarrier spacing 120kHz for 50MHz in TS 38.101-2 Table 5.3.2-1 and is 32.</w:t>
      </w:r>
    </w:p>
    <w:p w14:paraId="6491FBAC" w14:textId="77777777" w:rsidR="00602424" w:rsidRPr="00D93AF6" w:rsidRDefault="00602424" w:rsidP="00602424">
      <w:pPr>
        <w:pStyle w:val="B1"/>
        <w:numPr>
          <w:ilvl w:val="3"/>
          <w:numId w:val="22"/>
        </w:numPr>
      </w:pPr>
      <w:r w:rsidRPr="00D93AF6">
        <w:t>12 is the number of subcarriers in a PRB</w:t>
      </w:r>
    </w:p>
    <w:p w14:paraId="4F70D3D2" w14:textId="77777777" w:rsidR="00602424" w:rsidRPr="00D93AF6" w:rsidRDefault="00602424" w:rsidP="00602424">
      <w:pPr>
        <w:pStyle w:val="B1"/>
        <w:numPr>
          <w:ilvl w:val="3"/>
          <w:numId w:val="22"/>
        </w:numPr>
      </w:pPr>
      <w:r w:rsidRPr="00D93AF6">
        <w:t>SNR</w:t>
      </w:r>
      <w:r w:rsidRPr="00D93AF6">
        <w:rPr>
          <w:vertAlign w:val="subscript"/>
        </w:rPr>
        <w:t>REFSENS</w:t>
      </w:r>
      <w:r w:rsidRPr="00D93AF6">
        <w:t xml:space="preserve"> = -1 dB is the SNR used for simulation of REFSENS</w:t>
      </w:r>
    </w:p>
    <w:p w14:paraId="367AED11" w14:textId="77777777" w:rsidR="00602424" w:rsidRPr="00D93AF6" w:rsidRDefault="00602424" w:rsidP="00602424">
      <w:pPr>
        <w:pStyle w:val="B1"/>
        <w:numPr>
          <w:ilvl w:val="3"/>
          <w:numId w:val="22"/>
        </w:numPr>
      </w:pPr>
      <w:r w:rsidRPr="00D93AF6">
        <w:t>∆</w:t>
      </w:r>
      <w:r w:rsidRPr="00D93AF6">
        <w:rPr>
          <w:vertAlign w:val="subscript"/>
        </w:rPr>
        <w:t>thermal</w:t>
      </w:r>
      <w:r w:rsidRPr="00D93AF6">
        <w:t xml:space="preserve"> is the amount of dB that the wanted noise is set above UE thermal noise, giving a rise in total noise of </w:t>
      </w:r>
      <w:r w:rsidRPr="00D93AF6">
        <w:rPr>
          <w:rFonts w:ascii="Arial" w:eastAsia="Calibri" w:hAnsi="Arial" w:cs="Arial"/>
          <w:sz w:val="18"/>
          <w:szCs w:val="18"/>
        </w:rPr>
        <w:t>∆</w:t>
      </w:r>
      <w:r w:rsidRPr="00D93AF6">
        <w:rPr>
          <w:rFonts w:ascii="Arial" w:eastAsia="Calibri" w:hAnsi="Arial" w:cs="Arial"/>
          <w:sz w:val="18"/>
          <w:szCs w:val="18"/>
          <w:vertAlign w:val="subscript"/>
        </w:rPr>
        <w:t>BB</w:t>
      </w:r>
      <w:r w:rsidRPr="00D93AF6">
        <w:t>. ∆</w:t>
      </w:r>
      <w:r w:rsidRPr="00D93AF6">
        <w:rPr>
          <w:vertAlign w:val="subscript"/>
        </w:rPr>
        <w:t>thermal</w:t>
      </w:r>
      <w:r w:rsidRPr="00D93AF6">
        <w:t xml:space="preserve"> = 6dB, giving a rise in total noise of 1dB</w:t>
      </w:r>
      <w:r w:rsidRPr="00D93AF6">
        <w:rPr>
          <w:rFonts w:ascii="Arial" w:eastAsia="Calibri" w:hAnsi="Arial" w:cs="Arial"/>
          <w:sz w:val="18"/>
          <w:szCs w:val="18"/>
        </w:rPr>
        <w:t>.</w:t>
      </w:r>
    </w:p>
    <w:p w14:paraId="24E56D7C" w14:textId="77777777" w:rsidR="00602424" w:rsidRPr="00D93AF6" w:rsidRDefault="00602424" w:rsidP="00602424">
      <w:pPr>
        <w:pStyle w:val="B1"/>
        <w:numPr>
          <w:ilvl w:val="3"/>
          <w:numId w:val="22"/>
        </w:numPr>
      </w:pPr>
      <w:r w:rsidRPr="00D93AF6">
        <w:t>X is the allowable degradation in sensitivity from legacy REFSENS requirements in dB</w:t>
      </w:r>
    </w:p>
    <w:p w14:paraId="10A5EC64"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40206D2D" w14:textId="77777777" w:rsidR="00F229A6" w:rsidRPr="00D93AF6" w:rsidRDefault="00F229A6" w:rsidP="00F229A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p>
    <w:p w14:paraId="37091D42" w14:textId="77777777" w:rsidR="00F229A6" w:rsidRPr="00D93AF6" w:rsidRDefault="00F229A6" w:rsidP="00F229A6">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agreed</w:t>
      </w:r>
    </w:p>
    <w:p w14:paraId="4946C09E" w14:textId="77777777" w:rsidR="00602424" w:rsidRPr="00D93AF6" w:rsidRDefault="00602424" w:rsidP="00602424">
      <w:pPr>
        <w:rPr>
          <w:lang w:val="en-US" w:eastAsia="zh-CN"/>
        </w:rPr>
      </w:pPr>
    </w:p>
    <w:p w14:paraId="3A58539A" w14:textId="77777777" w:rsidR="00602424" w:rsidRPr="00D93AF6" w:rsidRDefault="00602424" w:rsidP="00602424">
      <w:pPr>
        <w:rPr>
          <w:b/>
          <w:u w:val="single"/>
          <w:lang w:eastAsia="ko-KR"/>
        </w:rPr>
      </w:pPr>
      <w:r w:rsidRPr="00D93AF6">
        <w:rPr>
          <w:b/>
          <w:u w:val="single"/>
          <w:lang w:eastAsia="ko-KR"/>
        </w:rPr>
        <w:t>Issue 3-1-4: Testability of TE to quantify legacy REFSENS + XdB</w:t>
      </w:r>
    </w:p>
    <w:p w14:paraId="698C0B7E"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3CA1C4BA"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No testability issue for TE to quantify legacy REFSENS requirement + XdB. There is no testability challenge for TE to identify directions with sensitivity better than REFSENS + X dB.</w:t>
      </w:r>
    </w:p>
    <w:p w14:paraId="2504F940"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568DEE10" w14:textId="77777777" w:rsidR="00F229A6" w:rsidRPr="00D93AF6" w:rsidRDefault="00F229A6" w:rsidP="00F229A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 xml:space="preserve">Agreement: </w:t>
      </w:r>
    </w:p>
    <w:p w14:paraId="154A8FD7" w14:textId="732B133D" w:rsidR="00F229A6" w:rsidRPr="00D93AF6" w:rsidRDefault="00F229A6" w:rsidP="00F229A6">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Option 1 agreed. </w:t>
      </w:r>
    </w:p>
    <w:p w14:paraId="0B6466B1" w14:textId="77777777" w:rsidR="00602424" w:rsidRPr="00D93AF6" w:rsidRDefault="00602424" w:rsidP="00602424">
      <w:pPr>
        <w:spacing w:after="120"/>
        <w:rPr>
          <w:szCs w:val="24"/>
          <w:lang w:eastAsia="zh-CN"/>
        </w:rPr>
      </w:pPr>
    </w:p>
    <w:p w14:paraId="25C44CB9" w14:textId="77777777" w:rsidR="00602424" w:rsidRPr="00D93AF6" w:rsidRDefault="00602424" w:rsidP="00602424">
      <w:pPr>
        <w:rPr>
          <w:b/>
          <w:u w:val="single"/>
          <w:lang w:eastAsia="ko-KR"/>
        </w:rPr>
      </w:pPr>
      <w:r w:rsidRPr="00D93AF6">
        <w:rPr>
          <w:b/>
          <w:u w:val="single"/>
          <w:lang w:eastAsia="ko-KR"/>
        </w:rPr>
        <w:t>Issue 3-1-5: How to determine the parameter XdB</w:t>
      </w:r>
    </w:p>
    <w:p w14:paraId="76C0266D"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448F1FE7"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As a baseline, RAN4 to use X = 2 for multi-Rx demodulation test directions selection.</w:t>
      </w:r>
    </w:p>
    <w:p w14:paraId="41C7C7F2"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284E5F64" w14:textId="186B520F"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WF</w:t>
      </w:r>
    </w:p>
    <w:p w14:paraId="61AE35F3" w14:textId="4C616113" w:rsidR="00602424" w:rsidRPr="00D93AF6" w:rsidRDefault="00F229A6"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 xml:space="preserve">RAN4 to further discuss the parameter of XdB in </w:t>
      </w:r>
      <w:r w:rsidR="005468B0">
        <w:rPr>
          <w:rFonts w:eastAsia="SimSun"/>
          <w:szCs w:val="24"/>
          <w:lang w:eastAsia="zh-CN"/>
        </w:rPr>
        <w:t xml:space="preserve">the </w:t>
      </w:r>
      <w:r w:rsidRPr="00D93AF6">
        <w:rPr>
          <w:rFonts w:eastAsia="SimSun"/>
          <w:szCs w:val="24"/>
          <w:lang w:eastAsia="zh-CN"/>
        </w:rPr>
        <w:t>next meeting.</w:t>
      </w:r>
    </w:p>
    <w:p w14:paraId="73589513" w14:textId="77777777" w:rsidR="00602424" w:rsidRPr="00D93AF6" w:rsidRDefault="00602424" w:rsidP="00602424">
      <w:pPr>
        <w:rPr>
          <w:b/>
          <w:u w:val="single"/>
          <w:lang w:eastAsia="ko-KR"/>
        </w:rPr>
      </w:pPr>
      <w:r w:rsidRPr="00D93AF6">
        <w:rPr>
          <w:b/>
          <w:u w:val="single"/>
          <w:lang w:eastAsia="ko-KR"/>
        </w:rPr>
        <w:t xml:space="preserve">Issue 3-1-6: Criteria of UE declared test directions </w:t>
      </w:r>
    </w:p>
    <w:p w14:paraId="285BE607"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lastRenderedPageBreak/>
        <w:t>Proposals</w:t>
      </w:r>
    </w:p>
    <w:p w14:paraId="68945236"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The test directions and AoA separation for multi-Rx demodulation test can be declared by UE. The UE declared test directions should satisfy the following 3 criteria:</w:t>
      </w:r>
    </w:p>
    <w:p w14:paraId="1D22E040" w14:textId="77777777" w:rsidR="00602424" w:rsidRPr="00D93AF6" w:rsidRDefault="00602424" w:rsidP="00602424">
      <w:pPr>
        <w:pStyle w:val="ListParagraph"/>
        <w:numPr>
          <w:ilvl w:val="2"/>
          <w:numId w:val="22"/>
        </w:numPr>
        <w:spacing w:after="120"/>
        <w:contextualSpacing w:val="0"/>
        <w:rPr>
          <w:rFonts w:eastAsia="SimSun"/>
          <w:szCs w:val="24"/>
          <w:lang w:eastAsia="zh-CN"/>
        </w:rPr>
      </w:pPr>
      <w:r w:rsidRPr="00D93AF6">
        <w:rPr>
          <w:rFonts w:eastAsia="SimSun"/>
          <w:szCs w:val="24"/>
          <w:lang w:eastAsia="zh-CN"/>
        </w:rPr>
        <w:t>Minimum isolation shall be at least [12dB]</w:t>
      </w:r>
    </w:p>
    <w:p w14:paraId="5E01A9AD" w14:textId="77777777" w:rsidR="00602424" w:rsidRPr="00D93AF6" w:rsidRDefault="00602424" w:rsidP="00602424">
      <w:pPr>
        <w:pStyle w:val="ListParagraph"/>
        <w:numPr>
          <w:ilvl w:val="2"/>
          <w:numId w:val="22"/>
        </w:numPr>
        <w:spacing w:after="120"/>
        <w:contextualSpacing w:val="0"/>
        <w:rPr>
          <w:rFonts w:eastAsia="SimSun"/>
          <w:szCs w:val="24"/>
          <w:lang w:eastAsia="zh-CN"/>
        </w:rPr>
      </w:pPr>
      <w:r w:rsidRPr="00D93AF6">
        <w:rPr>
          <w:rFonts w:eastAsia="SimSun"/>
          <w:szCs w:val="24"/>
          <w:lang w:eastAsia="zh-CN"/>
        </w:rPr>
        <w:t>Rank number shall be higher or same as intended rank for a given test case</w:t>
      </w:r>
    </w:p>
    <w:p w14:paraId="00D7350F" w14:textId="77777777" w:rsidR="00602424" w:rsidRPr="00D93AF6" w:rsidRDefault="00602424" w:rsidP="00602424">
      <w:pPr>
        <w:pStyle w:val="ListParagraph"/>
        <w:numPr>
          <w:ilvl w:val="2"/>
          <w:numId w:val="22"/>
        </w:numPr>
        <w:spacing w:after="120"/>
        <w:contextualSpacing w:val="0"/>
        <w:rPr>
          <w:rFonts w:eastAsia="SimSun"/>
          <w:szCs w:val="24"/>
          <w:lang w:eastAsia="zh-CN"/>
        </w:rPr>
      </w:pPr>
      <w:r w:rsidRPr="00D93AF6">
        <w:rPr>
          <w:rFonts w:eastAsia="SimSun"/>
          <w:szCs w:val="24"/>
          <w:lang w:eastAsia="zh-CN"/>
        </w:rPr>
        <w:t xml:space="preserve">Each direction of AoA pair shall pass legacy REFSENS requirements with X=2dB degradation. </w:t>
      </w:r>
    </w:p>
    <w:p w14:paraId="5B1B2071"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57B6E4FF" w14:textId="52A5F190" w:rsidR="00F229A6" w:rsidRPr="00D93AF6" w:rsidRDefault="00F229A6" w:rsidP="00F229A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w:t>
      </w:r>
      <w:r w:rsidRPr="00D93AF6">
        <w:rPr>
          <w:rFonts w:eastAsia="SimSun"/>
          <w:szCs w:val="24"/>
          <w:lang w:eastAsia="zh-CN"/>
        </w:rPr>
        <w:t>s</w:t>
      </w:r>
      <w:r w:rsidRPr="00D93AF6">
        <w:rPr>
          <w:rFonts w:eastAsia="SimSun"/>
          <w:szCs w:val="24"/>
          <w:lang w:eastAsia="zh-CN"/>
        </w:rPr>
        <w:t>:</w:t>
      </w:r>
    </w:p>
    <w:p w14:paraId="1E7BE527" w14:textId="77777777" w:rsidR="00F229A6" w:rsidRPr="00D93AF6" w:rsidRDefault="00F229A6" w:rsidP="00F229A6">
      <w:pPr>
        <w:pStyle w:val="ListParagraph"/>
        <w:numPr>
          <w:ilvl w:val="1"/>
          <w:numId w:val="22"/>
        </w:numPr>
        <w:overflowPunct/>
        <w:autoSpaceDE/>
        <w:adjustRightInd/>
        <w:spacing w:after="120"/>
        <w:ind w:left="1724"/>
        <w:contextualSpacing w:val="0"/>
        <w:textAlignment w:val="auto"/>
        <w:rPr>
          <w:rFonts w:eastAsia="SimSun"/>
          <w:szCs w:val="24"/>
          <w:lang w:eastAsia="zh-CN"/>
        </w:rPr>
      </w:pPr>
      <w:r w:rsidRPr="00D93AF6">
        <w:rPr>
          <w:rFonts w:eastAsia="SimSun"/>
          <w:szCs w:val="24"/>
          <w:lang w:eastAsia="zh-CN"/>
        </w:rPr>
        <w:t>The test directions and AoA separation for multi-Rx demodulation test can be declared by UE. The UE declared test directions should satisfy the following 3 criteria:</w:t>
      </w:r>
    </w:p>
    <w:p w14:paraId="1212CCD5" w14:textId="77777777" w:rsidR="00F229A6" w:rsidRPr="00D93AF6" w:rsidRDefault="00F229A6" w:rsidP="00F229A6">
      <w:pPr>
        <w:pStyle w:val="ListParagraph"/>
        <w:numPr>
          <w:ilvl w:val="2"/>
          <w:numId w:val="22"/>
        </w:numPr>
        <w:spacing w:after="120"/>
        <w:contextualSpacing w:val="0"/>
        <w:rPr>
          <w:rFonts w:eastAsia="SimSun"/>
          <w:szCs w:val="24"/>
          <w:lang w:eastAsia="zh-CN"/>
        </w:rPr>
      </w:pPr>
      <w:r w:rsidRPr="00D93AF6">
        <w:rPr>
          <w:rFonts w:eastAsia="SimSun"/>
          <w:szCs w:val="24"/>
          <w:lang w:eastAsia="zh-CN"/>
        </w:rPr>
        <w:t>Minimum isolation shall be at least [12dB]</w:t>
      </w:r>
    </w:p>
    <w:p w14:paraId="7648BBAD" w14:textId="77777777" w:rsidR="00F229A6" w:rsidRPr="00D93AF6" w:rsidRDefault="00F229A6" w:rsidP="00F229A6">
      <w:pPr>
        <w:pStyle w:val="ListParagraph"/>
        <w:numPr>
          <w:ilvl w:val="2"/>
          <w:numId w:val="22"/>
        </w:numPr>
        <w:spacing w:after="120"/>
        <w:contextualSpacing w:val="0"/>
        <w:rPr>
          <w:rFonts w:eastAsia="SimSun"/>
          <w:szCs w:val="24"/>
          <w:lang w:eastAsia="zh-CN"/>
        </w:rPr>
      </w:pPr>
      <w:r w:rsidRPr="00D93AF6">
        <w:rPr>
          <w:rFonts w:eastAsia="SimSun"/>
          <w:szCs w:val="24"/>
          <w:lang w:eastAsia="zh-CN"/>
        </w:rPr>
        <w:t>Rank number shall be higher or same as intended rank for a given test case</w:t>
      </w:r>
    </w:p>
    <w:p w14:paraId="5F54D3CE" w14:textId="77777777" w:rsidR="00F229A6" w:rsidRPr="00D93AF6" w:rsidRDefault="00F229A6" w:rsidP="00F229A6">
      <w:pPr>
        <w:pStyle w:val="ListParagraph"/>
        <w:numPr>
          <w:ilvl w:val="2"/>
          <w:numId w:val="22"/>
        </w:numPr>
        <w:spacing w:after="120"/>
        <w:contextualSpacing w:val="0"/>
        <w:rPr>
          <w:rFonts w:eastAsia="SimSun"/>
          <w:szCs w:val="24"/>
          <w:lang w:eastAsia="zh-CN"/>
        </w:rPr>
      </w:pPr>
      <w:r w:rsidRPr="00D93AF6">
        <w:rPr>
          <w:rFonts w:eastAsia="SimSun"/>
          <w:szCs w:val="24"/>
          <w:lang w:eastAsia="zh-CN"/>
        </w:rPr>
        <w:t xml:space="preserve">Each direction of AoA pair shall pass legacy REFSENS requirements with X dB degradation. </w:t>
      </w:r>
    </w:p>
    <w:p w14:paraId="6ED3BEB8" w14:textId="77777777" w:rsidR="00602424" w:rsidRPr="00D93AF6" w:rsidRDefault="00602424" w:rsidP="00602424">
      <w:pPr>
        <w:spacing w:after="120"/>
        <w:rPr>
          <w:szCs w:val="24"/>
          <w:lang w:eastAsia="zh-CN"/>
        </w:rPr>
      </w:pPr>
    </w:p>
    <w:p w14:paraId="4C489B85" w14:textId="77777777" w:rsidR="00602424" w:rsidRPr="00D93AF6" w:rsidRDefault="00602424" w:rsidP="00602424">
      <w:pPr>
        <w:rPr>
          <w:b/>
          <w:u w:val="single"/>
          <w:lang w:eastAsia="ko-KR"/>
        </w:rPr>
      </w:pPr>
      <w:r w:rsidRPr="00D93AF6">
        <w:rPr>
          <w:b/>
          <w:u w:val="single"/>
          <w:lang w:eastAsia="ko-KR"/>
        </w:rPr>
        <w:t>Issue 3-1-7: Fallback approach for test directions selection</w:t>
      </w:r>
    </w:p>
    <w:p w14:paraId="18830EC4"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76DA39AF"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If the UE declared test directions and AoA separation cannot satisfy the criteria in Issue 3-1-6. The test directions which can satisfy the following criteria should be searched by TE with a blind search algorithm as the fallback approach.</w:t>
      </w:r>
    </w:p>
    <w:p w14:paraId="2CE3EF87" w14:textId="77777777" w:rsidR="00602424" w:rsidRPr="00D93AF6" w:rsidRDefault="00602424" w:rsidP="00602424">
      <w:pPr>
        <w:pStyle w:val="ListParagraph"/>
        <w:numPr>
          <w:ilvl w:val="2"/>
          <w:numId w:val="22"/>
        </w:numPr>
        <w:spacing w:after="120"/>
        <w:contextualSpacing w:val="0"/>
        <w:rPr>
          <w:rFonts w:eastAsia="SimSun"/>
          <w:szCs w:val="24"/>
          <w:lang w:eastAsia="zh-CN"/>
        </w:rPr>
      </w:pPr>
      <w:r w:rsidRPr="00D93AF6">
        <w:rPr>
          <w:rFonts w:eastAsia="SimSun"/>
          <w:szCs w:val="24"/>
          <w:lang w:eastAsia="zh-CN"/>
        </w:rPr>
        <w:t>Minimum isolation shall be at least [12dB]</w:t>
      </w:r>
    </w:p>
    <w:p w14:paraId="3F68D8BF" w14:textId="77777777" w:rsidR="00602424" w:rsidRPr="00D93AF6" w:rsidRDefault="00602424" w:rsidP="00602424">
      <w:pPr>
        <w:pStyle w:val="ListParagraph"/>
        <w:numPr>
          <w:ilvl w:val="2"/>
          <w:numId w:val="22"/>
        </w:numPr>
        <w:spacing w:after="120"/>
        <w:contextualSpacing w:val="0"/>
        <w:rPr>
          <w:rFonts w:eastAsia="SimSun"/>
          <w:szCs w:val="24"/>
          <w:lang w:eastAsia="zh-CN"/>
        </w:rPr>
      </w:pPr>
      <w:r w:rsidRPr="00D93AF6">
        <w:rPr>
          <w:rFonts w:eastAsia="SimSun"/>
          <w:szCs w:val="24"/>
          <w:lang w:eastAsia="zh-CN"/>
        </w:rPr>
        <w:t>Rank number shall be higher or same as intended rank for a given test case</w:t>
      </w:r>
    </w:p>
    <w:p w14:paraId="344FF4E6" w14:textId="77777777" w:rsidR="00602424" w:rsidRPr="00D93AF6" w:rsidRDefault="00602424" w:rsidP="00602424">
      <w:pPr>
        <w:pStyle w:val="ListParagraph"/>
        <w:numPr>
          <w:ilvl w:val="2"/>
          <w:numId w:val="22"/>
        </w:numPr>
        <w:spacing w:after="120"/>
        <w:contextualSpacing w:val="0"/>
        <w:rPr>
          <w:rFonts w:eastAsia="SimSun"/>
          <w:szCs w:val="24"/>
          <w:lang w:eastAsia="zh-CN"/>
        </w:rPr>
      </w:pPr>
      <w:r w:rsidRPr="00D93AF6">
        <w:rPr>
          <w:rFonts w:eastAsia="SimSun"/>
          <w:szCs w:val="24"/>
          <w:lang w:eastAsia="zh-CN"/>
        </w:rPr>
        <w:t xml:space="preserve">Each direction of AoA pair shall pass legacy REFSENS requirements with X=2dB degradation. </w:t>
      </w:r>
    </w:p>
    <w:p w14:paraId="7A72E967"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12067057" w14:textId="77777777" w:rsidR="00F229A6" w:rsidRPr="00D93AF6" w:rsidRDefault="00F229A6" w:rsidP="00F229A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5DFA535D" w14:textId="77777777" w:rsidR="005468B0" w:rsidRPr="005468B0" w:rsidRDefault="005468B0" w:rsidP="005468B0">
      <w:pPr>
        <w:pStyle w:val="ListParagraph"/>
        <w:numPr>
          <w:ilvl w:val="1"/>
          <w:numId w:val="22"/>
        </w:numPr>
        <w:overflowPunct/>
        <w:autoSpaceDE/>
        <w:adjustRightInd/>
        <w:spacing w:after="120"/>
        <w:ind w:left="1724"/>
        <w:contextualSpacing w:val="0"/>
        <w:textAlignment w:val="auto"/>
        <w:rPr>
          <w:rFonts w:eastAsia="SimSun"/>
          <w:szCs w:val="24"/>
          <w:lang w:eastAsia="zh-CN"/>
        </w:rPr>
      </w:pPr>
      <w:r w:rsidRPr="005468B0">
        <w:rPr>
          <w:rFonts w:eastAsia="SimSun"/>
          <w:szCs w:val="24"/>
          <w:lang w:eastAsia="zh-CN"/>
        </w:rPr>
        <w:t>If the UE declared test directions and AoA separation cannot satisfy the criteria in Issue 3-1-6. The test directions which can satisfy the following criteria should be searched by TE with a blind search algorithm as the fallback approach.</w:t>
      </w:r>
    </w:p>
    <w:p w14:paraId="411543AF" w14:textId="77777777" w:rsidR="00F229A6" w:rsidRPr="00D93AF6" w:rsidRDefault="00F229A6" w:rsidP="00F229A6">
      <w:pPr>
        <w:pStyle w:val="ListParagraph"/>
        <w:numPr>
          <w:ilvl w:val="2"/>
          <w:numId w:val="22"/>
        </w:numPr>
        <w:spacing w:after="120"/>
        <w:contextualSpacing w:val="0"/>
        <w:rPr>
          <w:rFonts w:eastAsia="SimSun"/>
          <w:szCs w:val="24"/>
          <w:lang w:eastAsia="zh-CN"/>
        </w:rPr>
      </w:pPr>
      <w:r w:rsidRPr="00D93AF6">
        <w:rPr>
          <w:rFonts w:eastAsia="SimSun"/>
          <w:szCs w:val="24"/>
          <w:lang w:eastAsia="zh-CN"/>
        </w:rPr>
        <w:t>Minimum isolation shall be at least [12dB]</w:t>
      </w:r>
    </w:p>
    <w:p w14:paraId="67D267A4" w14:textId="77777777" w:rsidR="00F229A6" w:rsidRPr="00D93AF6" w:rsidRDefault="00F229A6" w:rsidP="00F229A6">
      <w:pPr>
        <w:pStyle w:val="ListParagraph"/>
        <w:numPr>
          <w:ilvl w:val="2"/>
          <w:numId w:val="22"/>
        </w:numPr>
        <w:spacing w:after="120"/>
        <w:contextualSpacing w:val="0"/>
        <w:rPr>
          <w:rFonts w:eastAsia="SimSun"/>
          <w:szCs w:val="24"/>
          <w:lang w:eastAsia="zh-CN"/>
        </w:rPr>
      </w:pPr>
      <w:r w:rsidRPr="00D93AF6">
        <w:rPr>
          <w:rFonts w:eastAsia="SimSun"/>
          <w:szCs w:val="24"/>
          <w:lang w:eastAsia="zh-CN"/>
        </w:rPr>
        <w:t>Rank number shall be higher or same as intended rank for a given test case</w:t>
      </w:r>
    </w:p>
    <w:p w14:paraId="0DDEDAF8" w14:textId="77777777" w:rsidR="00F229A6" w:rsidRPr="00D93AF6" w:rsidRDefault="00F229A6" w:rsidP="00F229A6">
      <w:pPr>
        <w:pStyle w:val="ListParagraph"/>
        <w:numPr>
          <w:ilvl w:val="2"/>
          <w:numId w:val="22"/>
        </w:numPr>
        <w:spacing w:after="120"/>
        <w:contextualSpacing w:val="0"/>
        <w:rPr>
          <w:rFonts w:eastAsia="SimSun"/>
          <w:szCs w:val="24"/>
          <w:lang w:eastAsia="zh-CN"/>
        </w:rPr>
      </w:pPr>
      <w:r w:rsidRPr="00D93AF6">
        <w:rPr>
          <w:rFonts w:eastAsia="SimSun"/>
          <w:szCs w:val="24"/>
          <w:lang w:eastAsia="zh-CN"/>
        </w:rPr>
        <w:t xml:space="preserve">Each direction of AoA pair shall pass legacy REFSENS requirements with X dB degradation. </w:t>
      </w:r>
    </w:p>
    <w:p w14:paraId="73C2882A" w14:textId="77777777" w:rsidR="00F229A6" w:rsidRPr="00D93AF6" w:rsidRDefault="00F229A6" w:rsidP="00602424">
      <w:pPr>
        <w:rPr>
          <w:b/>
          <w:u w:val="single"/>
          <w:lang w:eastAsia="ko-KR"/>
        </w:rPr>
      </w:pPr>
    </w:p>
    <w:p w14:paraId="6C8F1206" w14:textId="39830E26" w:rsidR="00602424" w:rsidRPr="00D93AF6" w:rsidRDefault="00602424" w:rsidP="00602424">
      <w:pPr>
        <w:rPr>
          <w:b/>
          <w:u w:val="single"/>
          <w:lang w:eastAsia="ko-KR"/>
        </w:rPr>
      </w:pPr>
      <w:r w:rsidRPr="00D93AF6">
        <w:rPr>
          <w:b/>
          <w:u w:val="single"/>
          <w:lang w:eastAsia="ko-KR"/>
        </w:rPr>
        <w:t>Issue 3-2-1: Minimum isolation requirements</w:t>
      </w:r>
    </w:p>
    <w:p w14:paraId="47B37434" w14:textId="77777777" w:rsidR="00602424" w:rsidRPr="00D93AF6" w:rsidRDefault="00602424" w:rsidP="00602424">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Proposals</w:t>
      </w:r>
    </w:p>
    <w:p w14:paraId="4A7DCAD4"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(R4-2309244): It is encouraged companies provide the simulation results to verify the minimum isolation requirements of [12dB] for multi-Rx demodulation test.</w:t>
      </w:r>
    </w:p>
    <w:p w14:paraId="56DAFBFC" w14:textId="77777777" w:rsidR="00602424" w:rsidRPr="00D93AF6" w:rsidRDefault="00602424" w:rsidP="00602424">
      <w:pPr>
        <w:jc w:val="center"/>
        <w:rPr>
          <w:lang w:val="en-US"/>
        </w:rPr>
      </w:pPr>
      <w:r w:rsidRPr="00D93AF6">
        <w:object w:dxaOrig="7512" w:dyaOrig="2581" w14:anchorId="5887CB4C">
          <v:shape id="_x0000_i1041" type="#_x0000_t75" style="width:337pt;height:116pt" o:ole="">
            <v:imagedata r:id="rId21" o:title=""/>
          </v:shape>
          <o:OLEObject Type="Embed" ProgID="Visio.Drawing.15" ShapeID="_x0000_i1041" DrawAspect="Content" ObjectID="_1746457779" r:id="rId22"/>
        </w:object>
      </w:r>
    </w:p>
    <w:p w14:paraId="2A01CBA3" w14:textId="77777777" w:rsidR="00602424" w:rsidRPr="00D93AF6" w:rsidRDefault="00602424" w:rsidP="00602424">
      <w:pPr>
        <w:jc w:val="center"/>
        <w:rPr>
          <w:szCs w:val="24"/>
          <w:lang w:eastAsia="zh-CN"/>
        </w:rPr>
      </w:pPr>
      <w:r w:rsidRPr="00D93AF6">
        <w:rPr>
          <w:szCs w:val="24"/>
          <w:lang w:eastAsia="zh-CN"/>
        </w:rPr>
        <w:t>Figure 3.2.2-1: Illustration of isolation implementation in the simulation (R4-2309244)</w:t>
      </w:r>
    </w:p>
    <w:p w14:paraId="21EE04EF" w14:textId="77777777" w:rsidR="00602424" w:rsidRPr="00D93AF6" w:rsidRDefault="00602424" w:rsidP="00602424">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2: TBA</w:t>
      </w:r>
    </w:p>
    <w:p w14:paraId="2EF47F31" w14:textId="77777777" w:rsidR="00F229A6" w:rsidRPr="00D93AF6" w:rsidRDefault="00F229A6" w:rsidP="00F229A6">
      <w:pPr>
        <w:pStyle w:val="ListParagraph"/>
        <w:numPr>
          <w:ilvl w:val="0"/>
          <w:numId w:val="22"/>
        </w:numPr>
        <w:overflowPunct/>
        <w:autoSpaceDE/>
        <w:autoSpaceDN/>
        <w:adjustRightInd/>
        <w:spacing w:after="120"/>
        <w:ind w:left="720"/>
        <w:contextualSpacing w:val="0"/>
        <w:textAlignment w:val="auto"/>
        <w:rPr>
          <w:rFonts w:eastAsia="SimSun"/>
          <w:szCs w:val="24"/>
          <w:lang w:eastAsia="zh-CN"/>
        </w:rPr>
      </w:pPr>
      <w:r w:rsidRPr="00D93AF6">
        <w:rPr>
          <w:rFonts w:eastAsia="SimSun"/>
          <w:szCs w:val="24"/>
          <w:lang w:eastAsia="zh-CN"/>
        </w:rPr>
        <w:t>Agreements:</w:t>
      </w:r>
    </w:p>
    <w:p w14:paraId="39427444" w14:textId="1DF72FE1" w:rsidR="00F229A6" w:rsidRPr="00D93AF6" w:rsidRDefault="00F229A6" w:rsidP="00F229A6">
      <w:pPr>
        <w:pStyle w:val="ListParagraph"/>
        <w:numPr>
          <w:ilvl w:val="1"/>
          <w:numId w:val="22"/>
        </w:numPr>
        <w:overflowPunct/>
        <w:autoSpaceDE/>
        <w:autoSpaceDN/>
        <w:adjustRightInd/>
        <w:spacing w:after="120"/>
        <w:ind w:left="1440"/>
        <w:contextualSpacing w:val="0"/>
        <w:textAlignment w:val="auto"/>
        <w:rPr>
          <w:rFonts w:eastAsia="SimSun"/>
          <w:szCs w:val="24"/>
          <w:lang w:eastAsia="zh-CN"/>
        </w:rPr>
      </w:pPr>
      <w:r w:rsidRPr="00D93AF6">
        <w:rPr>
          <w:rFonts w:eastAsia="SimSun"/>
          <w:szCs w:val="24"/>
          <w:lang w:eastAsia="zh-CN"/>
        </w:rPr>
        <w:t>Option 1 agreed</w:t>
      </w:r>
    </w:p>
    <w:p w14:paraId="38353949" w14:textId="77777777" w:rsidR="00602424" w:rsidRPr="00D93AF6" w:rsidRDefault="00602424" w:rsidP="00602424">
      <w:pPr>
        <w:spacing w:after="120"/>
        <w:rPr>
          <w:b/>
          <w:bCs/>
          <w:u w:val="single"/>
          <w:lang w:val="en-US" w:eastAsia="zh-CN"/>
        </w:rPr>
      </w:pPr>
      <w:r w:rsidRPr="00D93AF6">
        <w:rPr>
          <w:b/>
          <w:bCs/>
          <w:u w:val="single"/>
        </w:rPr>
        <w:t>Issue 3-3-1: Test method for demodulation requirements for FR2 multi-Rx (Issue 1-1-3 in thread [322] R4-2310459)</w:t>
      </w:r>
    </w:p>
    <w:p w14:paraId="6CE366A1" w14:textId="77777777" w:rsidR="00602424" w:rsidRPr="00D93AF6" w:rsidRDefault="00602424" w:rsidP="00602424">
      <w:pPr>
        <w:pStyle w:val="ListParagraph"/>
        <w:numPr>
          <w:ilvl w:val="0"/>
          <w:numId w:val="43"/>
        </w:numPr>
        <w:adjustRightInd/>
        <w:contextualSpacing w:val="0"/>
        <w:textAlignment w:val="auto"/>
        <w:rPr>
          <w:rFonts w:ascii="Calibri" w:hAnsi="Calibri" w:cs="Calibri"/>
        </w:rPr>
      </w:pPr>
      <w:r w:rsidRPr="00D93AF6">
        <w:t>Observations</w:t>
      </w:r>
    </w:p>
    <w:p w14:paraId="6AE528C5" w14:textId="77777777" w:rsidR="00602424" w:rsidRPr="00D93AF6" w:rsidRDefault="00602424" w:rsidP="00602424">
      <w:pPr>
        <w:pStyle w:val="ListParagraph"/>
        <w:numPr>
          <w:ilvl w:val="1"/>
          <w:numId w:val="43"/>
        </w:numPr>
        <w:adjustRightInd/>
        <w:contextualSpacing w:val="0"/>
        <w:textAlignment w:val="auto"/>
      </w:pPr>
      <w:r w:rsidRPr="00D93AF6">
        <w:t>Observation 1 (Qualcomm):</w:t>
      </w:r>
    </w:p>
    <w:p w14:paraId="7459F830" w14:textId="77777777" w:rsidR="00602424" w:rsidRPr="00D93AF6" w:rsidRDefault="00602424" w:rsidP="00602424">
      <w:pPr>
        <w:pStyle w:val="ListParagraph"/>
        <w:numPr>
          <w:ilvl w:val="2"/>
          <w:numId w:val="44"/>
        </w:numPr>
        <w:adjustRightInd/>
        <w:contextualSpacing w:val="0"/>
        <w:textAlignment w:val="auto"/>
      </w:pPr>
      <w:r w:rsidRPr="00D93AF6">
        <w:t>Real OTA testing may include impairment due to RF, hence demod requirements may not be truly tested in the presence of such impairments.</w:t>
      </w:r>
    </w:p>
    <w:p w14:paraId="3A93358F" w14:textId="77777777" w:rsidR="00602424" w:rsidRPr="00D93AF6" w:rsidRDefault="00602424" w:rsidP="00602424">
      <w:pPr>
        <w:pStyle w:val="ListParagraph"/>
        <w:numPr>
          <w:ilvl w:val="1"/>
          <w:numId w:val="43"/>
        </w:numPr>
        <w:adjustRightInd/>
        <w:contextualSpacing w:val="0"/>
        <w:textAlignment w:val="auto"/>
      </w:pPr>
      <w:r w:rsidRPr="00D93AF6">
        <w:t>Observation 2 (MediaTek):</w:t>
      </w:r>
    </w:p>
    <w:p w14:paraId="3C7A8CFC" w14:textId="77777777" w:rsidR="00602424" w:rsidRPr="00D93AF6" w:rsidRDefault="00602424" w:rsidP="00602424">
      <w:pPr>
        <w:pStyle w:val="ListParagraph"/>
        <w:numPr>
          <w:ilvl w:val="2"/>
          <w:numId w:val="45"/>
        </w:numPr>
        <w:adjustRightInd/>
        <w:contextualSpacing w:val="0"/>
        <w:textAlignment w:val="auto"/>
      </w:pPr>
      <w:r w:rsidRPr="00D93AF6">
        <w:rPr>
          <w:lang w:eastAsia="zh-TW"/>
        </w:rPr>
        <w:t>The split to emulator and simulator channels has not been captured in the earlier proposals</w:t>
      </w:r>
    </w:p>
    <w:p w14:paraId="447F77D0" w14:textId="77777777" w:rsidR="00602424" w:rsidRPr="00D93AF6" w:rsidRDefault="00602424" w:rsidP="00602424">
      <w:pPr>
        <w:pStyle w:val="ListParagraph"/>
        <w:numPr>
          <w:ilvl w:val="2"/>
          <w:numId w:val="45"/>
        </w:numPr>
        <w:adjustRightInd/>
        <w:contextualSpacing w:val="0"/>
        <w:textAlignment w:val="auto"/>
      </w:pPr>
      <w:r w:rsidRPr="00D93AF6">
        <w:t>In OTA testing, we employ channel model H</w:t>
      </w:r>
      <w:r w:rsidRPr="00D93AF6">
        <w:rPr>
          <w:vertAlign w:val="subscript"/>
        </w:rPr>
        <w:t>emulator</w:t>
      </w:r>
      <w:r w:rsidRPr="00D93AF6">
        <w:t xml:space="preserve"> (4x4) between TRPs and TX-probes</w:t>
      </w:r>
    </w:p>
    <w:p w14:paraId="69243F5A" w14:textId="77777777" w:rsidR="00602424" w:rsidRPr="00D93AF6" w:rsidRDefault="00602424" w:rsidP="00602424">
      <w:pPr>
        <w:pStyle w:val="ListParagraph"/>
        <w:numPr>
          <w:ilvl w:val="2"/>
          <w:numId w:val="45"/>
        </w:numPr>
        <w:adjustRightInd/>
        <w:contextualSpacing w:val="0"/>
        <w:textAlignment w:val="auto"/>
      </w:pPr>
      <w:r w:rsidRPr="00D93AF6">
        <w:t>Chamber channel H</w:t>
      </w:r>
      <w:r w:rsidRPr="00D93AF6">
        <w:rPr>
          <w:vertAlign w:val="subscript"/>
        </w:rPr>
        <w:t>chamber</w:t>
      </w:r>
      <w:r w:rsidRPr="00D93AF6">
        <w:t xml:space="preserve"> is not fading, but rather constant and deterministic for a given physical TX-probe and UE-panel setup (depending on AoA)</w:t>
      </w:r>
      <w:r w:rsidRPr="00D93AF6">
        <w:rPr>
          <w:lang w:eastAsia="en-GB"/>
        </w:rPr>
        <w:t>.</w:t>
      </w:r>
    </w:p>
    <w:p w14:paraId="2E9F42E7" w14:textId="77777777" w:rsidR="00602424" w:rsidRPr="00D93AF6" w:rsidRDefault="00602424" w:rsidP="00602424">
      <w:pPr>
        <w:pStyle w:val="ListParagraph"/>
        <w:numPr>
          <w:ilvl w:val="0"/>
          <w:numId w:val="43"/>
        </w:numPr>
        <w:adjustRightInd/>
        <w:contextualSpacing w:val="0"/>
        <w:textAlignment w:val="auto"/>
      </w:pPr>
      <w:r w:rsidRPr="00D93AF6">
        <w:t>Proposals</w:t>
      </w:r>
    </w:p>
    <w:p w14:paraId="2ED65E47" w14:textId="77777777" w:rsidR="00602424" w:rsidRPr="00D93AF6" w:rsidRDefault="00602424" w:rsidP="00602424">
      <w:pPr>
        <w:pStyle w:val="ListParagraph"/>
        <w:numPr>
          <w:ilvl w:val="1"/>
          <w:numId w:val="43"/>
        </w:numPr>
        <w:adjustRightInd/>
        <w:contextualSpacing w:val="0"/>
        <w:textAlignment w:val="auto"/>
      </w:pPr>
      <w:r w:rsidRPr="00D93AF6">
        <w:t>Option 1 (Qualcomm): RAN4 to adopt virtual cable setup to test the FR2 multi-Rx demodulation requirements as discussed in NR FR2 OTA enhancements.</w:t>
      </w:r>
    </w:p>
    <w:p w14:paraId="70EB92C5" w14:textId="77777777" w:rsidR="00602424" w:rsidRPr="00D93AF6" w:rsidRDefault="00602424" w:rsidP="00602424">
      <w:pPr>
        <w:pStyle w:val="ListParagraph"/>
        <w:numPr>
          <w:ilvl w:val="1"/>
          <w:numId w:val="43"/>
        </w:numPr>
        <w:adjustRightInd/>
        <w:contextualSpacing w:val="0"/>
        <w:textAlignment w:val="auto"/>
      </w:pPr>
      <w:r w:rsidRPr="00D93AF6">
        <w:rPr>
          <w:lang w:eastAsia="en-GB"/>
        </w:rPr>
        <w:t xml:space="preserve">Option 2 (MediaTek): </w:t>
      </w:r>
    </w:p>
    <w:p w14:paraId="186A8CA0" w14:textId="77777777" w:rsidR="00602424" w:rsidRPr="00D93AF6" w:rsidRDefault="00602424" w:rsidP="00602424">
      <w:pPr>
        <w:pStyle w:val="ListParagraph"/>
        <w:numPr>
          <w:ilvl w:val="3"/>
          <w:numId w:val="46"/>
        </w:numPr>
        <w:adjustRightInd/>
        <w:contextualSpacing w:val="0"/>
        <w:textAlignment w:val="auto"/>
      </w:pPr>
      <w:r w:rsidRPr="00D93AF6">
        <w:t>Confirm understanding of test setup in chamber</w:t>
      </w:r>
    </w:p>
    <w:p w14:paraId="4AA18FBF" w14:textId="77777777" w:rsidR="00602424" w:rsidRPr="00D93AF6" w:rsidRDefault="00602424" w:rsidP="00602424">
      <w:pPr>
        <w:pStyle w:val="ListParagraph"/>
        <w:numPr>
          <w:ilvl w:val="3"/>
          <w:numId w:val="47"/>
        </w:numPr>
        <w:adjustRightInd/>
        <w:ind w:left="2610" w:hanging="450"/>
        <w:contextualSpacing w:val="0"/>
        <w:textAlignment w:val="auto"/>
        <w:rPr>
          <w:rFonts w:eastAsiaTheme="minorEastAsia"/>
          <w:lang w:eastAsia="zh-CN"/>
        </w:rPr>
      </w:pPr>
      <w:r w:rsidRPr="00D93AF6">
        <w:t>Option 1: Install probes in test chamber according to defined AoA and keep emulator channel independent of the AoA</w:t>
      </w:r>
    </w:p>
    <w:p w14:paraId="33146003" w14:textId="77777777" w:rsidR="00602424" w:rsidRPr="00D93AF6" w:rsidRDefault="00602424" w:rsidP="00602424">
      <w:pPr>
        <w:pStyle w:val="ListParagraph"/>
        <w:numPr>
          <w:ilvl w:val="3"/>
          <w:numId w:val="47"/>
        </w:numPr>
        <w:adjustRightInd/>
        <w:ind w:left="2610" w:hanging="450"/>
        <w:contextualSpacing w:val="0"/>
        <w:textAlignment w:val="auto"/>
        <w:rPr>
          <w:rFonts w:eastAsia="Times New Roman"/>
        </w:rPr>
      </w:pPr>
      <w:r w:rsidRPr="00D93AF6">
        <w:t>Option 2: Install probes in test chamber in 90 angle and model AoA in channel emulator.</w:t>
      </w:r>
    </w:p>
    <w:p w14:paraId="2FB433D3" w14:textId="77777777" w:rsidR="00602424" w:rsidRPr="00D93AF6" w:rsidRDefault="00602424" w:rsidP="00602424">
      <w:pPr>
        <w:pStyle w:val="ListParagraph"/>
        <w:numPr>
          <w:ilvl w:val="3"/>
          <w:numId w:val="47"/>
        </w:numPr>
        <w:adjustRightInd/>
        <w:ind w:left="2610" w:hanging="450"/>
        <w:contextualSpacing w:val="0"/>
        <w:textAlignment w:val="auto"/>
      </w:pPr>
      <w:r w:rsidRPr="00D93AF6">
        <w:t>Other options are not precluded</w:t>
      </w:r>
    </w:p>
    <w:p w14:paraId="2F34EC3C" w14:textId="77777777" w:rsidR="00602424" w:rsidRPr="00D93AF6" w:rsidRDefault="00602424" w:rsidP="00602424">
      <w:pPr>
        <w:pStyle w:val="ListParagraph"/>
        <w:numPr>
          <w:ilvl w:val="3"/>
          <w:numId w:val="48"/>
        </w:numPr>
        <w:adjustRightInd/>
        <w:contextualSpacing w:val="0"/>
        <w:textAlignment w:val="auto"/>
      </w:pPr>
      <w:r w:rsidRPr="00D93AF6">
        <w:t>In corresponding simulations, we employ the same model H</w:t>
      </w:r>
      <w:r w:rsidRPr="00D93AF6">
        <w:rPr>
          <w:vertAlign w:val="subscript"/>
        </w:rPr>
        <w:t>emulator</w:t>
      </w:r>
      <w:r w:rsidRPr="00D93AF6">
        <w:t xml:space="preserve"> concatenated with a model of the chamber channel H</w:t>
      </w:r>
      <w:r w:rsidRPr="00D93AF6">
        <w:rPr>
          <w:vertAlign w:val="subscript"/>
        </w:rPr>
        <w:t>chamber</w:t>
      </w:r>
      <w:r w:rsidRPr="00D93AF6">
        <w:t xml:space="preserve"> (4x4) → H</w:t>
      </w:r>
      <w:r w:rsidRPr="00D93AF6">
        <w:rPr>
          <w:vertAlign w:val="subscript"/>
        </w:rPr>
        <w:t>simulator</w:t>
      </w:r>
      <w:r w:rsidRPr="00D93AF6">
        <w:t xml:space="preserve"> = H</w:t>
      </w:r>
      <w:r w:rsidRPr="00D93AF6">
        <w:rPr>
          <w:vertAlign w:val="subscript"/>
        </w:rPr>
        <w:t>chamber</w:t>
      </w:r>
      <w:r w:rsidRPr="00D93AF6">
        <w:t xml:space="preserve"> ∙ H</w:t>
      </w:r>
      <w:r w:rsidRPr="00D93AF6">
        <w:rPr>
          <w:vertAlign w:val="subscript"/>
        </w:rPr>
        <w:t xml:space="preserve">emulator. </w:t>
      </w:r>
    </w:p>
    <w:p w14:paraId="1C5797AF" w14:textId="77777777" w:rsidR="00602424" w:rsidRPr="00D93AF6" w:rsidRDefault="00602424" w:rsidP="00602424">
      <w:pPr>
        <w:pStyle w:val="ListParagraph"/>
        <w:numPr>
          <w:ilvl w:val="3"/>
          <w:numId w:val="48"/>
        </w:numPr>
        <w:adjustRightInd/>
        <w:contextualSpacing w:val="0"/>
        <w:textAlignment w:val="auto"/>
      </w:pPr>
      <w:r w:rsidRPr="00D93AF6">
        <w:t>We need to specify the properties of both H</w:t>
      </w:r>
      <w:r w:rsidRPr="00D93AF6">
        <w:rPr>
          <w:vertAlign w:val="subscript"/>
        </w:rPr>
        <w:t>chamber</w:t>
      </w:r>
      <w:r w:rsidRPr="00D93AF6">
        <w:t xml:space="preserve"> and H</w:t>
      </w:r>
      <w:r w:rsidRPr="00D93AF6">
        <w:rPr>
          <w:vertAlign w:val="subscript"/>
        </w:rPr>
        <w:t>emulator</w:t>
      </w:r>
      <w:r w:rsidRPr="00D93AF6">
        <w:t xml:space="preserve"> explicitly.</w:t>
      </w:r>
    </w:p>
    <w:p w14:paraId="6762DEE7" w14:textId="77777777" w:rsidR="00602424" w:rsidRPr="00D93AF6" w:rsidRDefault="00602424" w:rsidP="00602424">
      <w:pPr>
        <w:pStyle w:val="ListParagraph"/>
        <w:numPr>
          <w:ilvl w:val="3"/>
          <w:numId w:val="48"/>
        </w:numPr>
        <w:adjustRightInd/>
        <w:contextualSpacing w:val="0"/>
        <w:textAlignment w:val="auto"/>
        <w:rPr>
          <w:lang w:eastAsia="zh-CN"/>
        </w:rPr>
      </w:pPr>
      <w:r w:rsidRPr="00D93AF6">
        <w:t>In H</w:t>
      </w:r>
      <w:r w:rsidRPr="00D93AF6">
        <w:rPr>
          <w:vertAlign w:val="subscript"/>
        </w:rPr>
        <w:t>emulator</w:t>
      </w:r>
      <w:r w:rsidRPr="00D93AF6">
        <w:t xml:space="preserve"> set H</w:t>
      </w:r>
      <w:r w:rsidRPr="00D93AF6">
        <w:rPr>
          <w:vertAlign w:val="subscript"/>
        </w:rPr>
        <w:t>12</w:t>
      </w:r>
      <w:r w:rsidRPr="00D93AF6">
        <w:t xml:space="preserve"> and H</w:t>
      </w:r>
      <w:r w:rsidRPr="00D93AF6">
        <w:rPr>
          <w:vertAlign w:val="subscript"/>
        </w:rPr>
        <w:t>21</w:t>
      </w:r>
      <w:r w:rsidRPr="00D93AF6">
        <w:t xml:space="preserve"> as all zeros, and model H</w:t>
      </w:r>
      <w:r w:rsidRPr="00D93AF6">
        <w:rPr>
          <w:vertAlign w:val="subscript"/>
        </w:rPr>
        <w:t>11</w:t>
      </w:r>
      <w:r w:rsidRPr="00D93AF6">
        <w:t xml:space="preserve"> and H</w:t>
      </w:r>
      <w:r w:rsidRPr="00D93AF6">
        <w:rPr>
          <w:vertAlign w:val="subscript"/>
        </w:rPr>
        <w:t xml:space="preserve">22 </w:t>
      </w:r>
      <w:r w:rsidRPr="00D93AF6">
        <w:t>as mutually independent 2x2 fading channels that can follow some existing 3GPP correlation model (for example 2x2 Xpol high)</w:t>
      </w:r>
    </w:p>
    <w:p w14:paraId="570E24F3" w14:textId="77777777" w:rsidR="00602424" w:rsidRPr="00D93AF6" w:rsidRDefault="00602424" w:rsidP="00602424">
      <w:pPr>
        <w:pStyle w:val="ListParagraph"/>
        <w:numPr>
          <w:ilvl w:val="3"/>
          <w:numId w:val="48"/>
        </w:numPr>
        <w:adjustRightInd/>
        <w:contextualSpacing w:val="0"/>
        <w:jc w:val="both"/>
        <w:textAlignment w:val="auto"/>
      </w:pPr>
      <w:r w:rsidRPr="00D93AF6">
        <w:t xml:space="preserve">Define </w:t>
      </w:r>
      <m:oMath>
        <m:sSub>
          <m:sSubPr>
            <m:ctrlPr>
              <w:rPr>
                <w:rFonts w:ascii="Cambria Math" w:hAnsi="Cambria Math" w:cs="Calibri"/>
                <w:i/>
                <w:iCs/>
              </w:rPr>
            </m:ctrlPr>
          </m:sSubPr>
          <m:e>
            <m:r>
              <m:rPr>
                <m:sty m:val="p"/>
              </m:rPr>
              <w:rPr>
                <w:rFonts w:ascii="Cambria Math" w:hAnsi="Cambria Math"/>
              </w:rPr>
              <m:t>H</m:t>
            </m:r>
          </m:e>
          <m:sub>
            <m:r>
              <m:rPr>
                <m:sty m:val="p"/>
              </m:rPr>
              <w:rPr>
                <w:rFonts w:ascii="Cambria Math" w:hAnsi="Cambria Math"/>
              </w:rPr>
              <m:t>chamber</m:t>
            </m:r>
          </m:sub>
        </m:sSub>
        <m:r>
          <w:rPr>
            <w:rFonts w:ascii="Cambria Math" w:hAnsi="Cambria Math"/>
          </w:rPr>
          <m:t>=</m:t>
        </m:r>
        <m:d>
          <m:dPr>
            <m:begChr m:val="["/>
            <m:endChr m:val="]"/>
            <m:ctrlPr>
              <w:rPr>
                <w:rFonts w:ascii="Cambria Math" w:hAnsi="Cambria Math" w:cs="Calibri"/>
                <w:i/>
                <w:iCs/>
              </w:rPr>
            </m:ctrlPr>
          </m:dPr>
          <m:e>
            <m:m>
              <m:mPr>
                <m:mcs>
                  <m:mc>
                    <m:mcPr>
                      <m:count m:val="2"/>
                      <m:mcJc m:val="center"/>
                    </m:mcPr>
                  </m:mc>
                </m:mcs>
                <m:ctrlPr>
                  <w:rPr>
                    <w:rFonts w:ascii="Cambria Math" w:hAnsi="Cambria Math" w:cs="Calibri"/>
                    <w:i/>
                    <w:iCs/>
                  </w:rPr>
                </m:ctrlPr>
              </m:mPr>
              <m:mr>
                <m:e>
                  <m:r>
                    <m:rPr>
                      <m:sty m:val="p"/>
                    </m:rPr>
                    <w:rPr>
                      <w:rFonts w:ascii="Cambria Math" w:hAnsi="Cambria Math"/>
                    </w:rPr>
                    <m:t>I</m:t>
                  </m:r>
                </m:e>
                <m:e>
                  <m:f>
                    <m:fPr>
                      <m:ctrlPr>
                        <w:rPr>
                          <w:rFonts w:ascii="Cambria Math" w:hAnsi="Cambria Math" w:cs="Calibri"/>
                          <w:i/>
                          <w:iCs/>
                        </w:rPr>
                      </m:ctrlPr>
                    </m:fPr>
                    <m:num>
                      <m:r>
                        <w:rPr>
                          <w:rFonts w:ascii="Cambria Math" w:hAnsi="Cambria Math"/>
                        </w:rPr>
                        <m:t>1</m:t>
                      </m:r>
                    </m:num>
                    <m:den>
                      <m:rad>
                        <m:radPr>
                          <m:degHide m:val="1"/>
                          <m:ctrlPr>
                            <w:rPr>
                              <w:rFonts w:ascii="Cambria Math" w:hAnsi="Cambria Math" w:cs="Calibri"/>
                              <w:i/>
                              <w:iCs/>
                            </w:rPr>
                          </m:ctrlPr>
                        </m:radPr>
                        <m:deg/>
                        <m:e>
                          <m:r>
                            <w:rPr>
                              <w:rFonts w:ascii="Cambria Math" w:hAnsi="Cambria Math"/>
                            </w:rPr>
                            <m:t>γ</m:t>
                          </m:r>
                        </m:e>
                      </m:rad>
                    </m:den>
                  </m:f>
                  <m:r>
                    <m:rPr>
                      <m:sty m:val="p"/>
                    </m:rPr>
                    <w:rPr>
                      <w:rFonts w:ascii="Cambria Math" w:hAnsi="Cambria Math"/>
                    </w:rPr>
                    <m:t>I</m:t>
                  </m:r>
                </m:e>
              </m:mr>
              <m:mr>
                <m:e>
                  <m:f>
                    <m:fPr>
                      <m:ctrlPr>
                        <w:rPr>
                          <w:rFonts w:ascii="Cambria Math" w:hAnsi="Cambria Math" w:cs="Calibri"/>
                          <w:i/>
                          <w:iCs/>
                        </w:rPr>
                      </m:ctrlPr>
                    </m:fPr>
                    <m:num>
                      <m:r>
                        <w:rPr>
                          <w:rFonts w:ascii="Cambria Math" w:hAnsi="Cambria Math"/>
                        </w:rPr>
                        <m:t>1</m:t>
                      </m:r>
                    </m:num>
                    <m:den>
                      <m:rad>
                        <m:radPr>
                          <m:degHide m:val="1"/>
                          <m:ctrlPr>
                            <w:rPr>
                              <w:rFonts w:ascii="Cambria Math" w:hAnsi="Cambria Math" w:cs="Calibri"/>
                              <w:i/>
                              <w:iCs/>
                            </w:rPr>
                          </m:ctrlPr>
                        </m:radPr>
                        <m:deg/>
                        <m:e>
                          <m:r>
                            <w:rPr>
                              <w:rFonts w:ascii="Cambria Math" w:hAnsi="Cambria Math"/>
                            </w:rPr>
                            <m:t>γ</m:t>
                          </m:r>
                        </m:e>
                      </m:rad>
                    </m:den>
                  </m:f>
                  <m:r>
                    <m:rPr>
                      <m:sty m:val="p"/>
                    </m:rPr>
                    <w:rPr>
                      <w:rFonts w:ascii="Cambria Math" w:hAnsi="Cambria Math"/>
                    </w:rPr>
                    <m:t>I</m:t>
                  </m:r>
                </m:e>
                <m:e>
                  <m:r>
                    <m:rPr>
                      <m:sty m:val="p"/>
                    </m:rPr>
                    <w:rPr>
                      <w:rFonts w:ascii="Cambria Math" w:hAnsi="Cambria Math"/>
                    </w:rPr>
                    <m:t>I</m:t>
                  </m:r>
                </m:e>
              </m:mr>
            </m:m>
          </m:e>
        </m:d>
      </m:oMath>
      <w:r w:rsidRPr="00D93AF6">
        <w:t>, where γ depends on AoA.</w:t>
      </w:r>
    </w:p>
    <w:p w14:paraId="54AC60BB" w14:textId="77777777" w:rsidR="00602424" w:rsidRPr="00D93AF6" w:rsidRDefault="00602424" w:rsidP="00602424">
      <w:pPr>
        <w:pStyle w:val="ListParagraph"/>
        <w:numPr>
          <w:ilvl w:val="0"/>
          <w:numId w:val="48"/>
        </w:numPr>
        <w:contextualSpacing w:val="0"/>
        <w:jc w:val="center"/>
      </w:pPr>
      <w:r w:rsidRPr="00D93AF6">
        <w:object w:dxaOrig="7512" w:dyaOrig="2581" w14:anchorId="3BF4C4F8">
          <v:shape id="_x0000_i1043" type="#_x0000_t75" style="width:271pt;height:93pt" o:ole="">
            <v:imagedata r:id="rId23" o:title=""/>
          </v:shape>
          <o:OLEObject Type="Embed" ProgID="Visio.Drawing.15" ShapeID="_x0000_i1043" DrawAspect="Content" ObjectID="_1746457780" r:id="rId24"/>
        </w:object>
      </w:r>
    </w:p>
    <w:p w14:paraId="7407D9B2" w14:textId="77777777" w:rsidR="00602424" w:rsidRPr="00D93AF6" w:rsidRDefault="00602424" w:rsidP="00F229A6">
      <w:pPr>
        <w:pStyle w:val="ListParagraph"/>
        <w:ind w:left="360"/>
        <w:contextualSpacing w:val="0"/>
        <w:jc w:val="center"/>
      </w:pPr>
      <w:r w:rsidRPr="00D93AF6">
        <w:t>Figure 3.2.3-1: I</w:t>
      </w:r>
      <w:r w:rsidRPr="00D93AF6">
        <w:rPr>
          <w:rFonts w:hint="eastAsia"/>
        </w:rPr>
        <w:t>llustration</w:t>
      </w:r>
      <w:r w:rsidRPr="00D93AF6">
        <w:t xml:space="preserve"> of virtual cable approach for multi-Rx demodulation test (R4-2309244)</w:t>
      </w:r>
    </w:p>
    <w:p w14:paraId="6876DD29" w14:textId="77777777" w:rsidR="00602424" w:rsidRPr="00D93AF6" w:rsidRDefault="00602424" w:rsidP="00F229A6">
      <w:pPr>
        <w:pStyle w:val="ListParagraph"/>
        <w:numPr>
          <w:ilvl w:val="0"/>
          <w:numId w:val="43"/>
        </w:numPr>
        <w:adjustRightInd/>
        <w:contextualSpacing w:val="0"/>
        <w:textAlignment w:val="auto"/>
      </w:pPr>
      <w:r w:rsidRPr="00D93AF6">
        <w:t>Agreements:</w:t>
      </w:r>
    </w:p>
    <w:p w14:paraId="330F61A9" w14:textId="77777777" w:rsidR="00602424" w:rsidRPr="00D93AF6" w:rsidRDefault="00602424" w:rsidP="00F229A6">
      <w:pPr>
        <w:pStyle w:val="ListParagraph"/>
        <w:numPr>
          <w:ilvl w:val="1"/>
          <w:numId w:val="43"/>
        </w:numPr>
        <w:adjustRightInd/>
        <w:contextualSpacing w:val="0"/>
        <w:textAlignment w:val="auto"/>
        <w:rPr>
          <w:lang w:eastAsia="en-GB"/>
        </w:rPr>
      </w:pPr>
      <w:r w:rsidRPr="00D93AF6">
        <w:rPr>
          <w:lang w:eastAsia="en-GB"/>
        </w:rPr>
        <w:t>RAN4 to adopt virtual cable setup to test the FR2 multi-Rx demodulation requirements as discussed in NR FR2 OTA enhancements.</w:t>
      </w:r>
    </w:p>
    <w:p w14:paraId="462F518A" w14:textId="77777777" w:rsidR="00F229A6" w:rsidRPr="00D93AF6" w:rsidRDefault="00602424" w:rsidP="00F229A6">
      <w:pPr>
        <w:pStyle w:val="ListParagraph"/>
        <w:numPr>
          <w:ilvl w:val="1"/>
          <w:numId w:val="43"/>
        </w:numPr>
        <w:adjustRightInd/>
        <w:contextualSpacing w:val="0"/>
        <w:textAlignment w:val="auto"/>
        <w:rPr>
          <w:lang w:eastAsia="en-GB"/>
        </w:rPr>
      </w:pPr>
      <w:r w:rsidRPr="00D93AF6">
        <w:rPr>
          <w:lang w:eastAsia="en-GB"/>
        </w:rPr>
        <w:t>RAN4 to further study the number of AoA pairs satisfying the [12dB] min. isolation based on the simulation assumptions in UE RF with the following options:</w:t>
      </w:r>
    </w:p>
    <w:p w14:paraId="7138C9A6" w14:textId="05D48CEF" w:rsidR="00602424" w:rsidRPr="00D93AF6" w:rsidRDefault="00602424" w:rsidP="00F229A6">
      <w:pPr>
        <w:pStyle w:val="ListParagraph"/>
        <w:numPr>
          <w:ilvl w:val="3"/>
          <w:numId w:val="43"/>
        </w:numPr>
        <w:adjustRightInd/>
        <w:contextualSpacing w:val="0"/>
        <w:textAlignment w:val="auto"/>
        <w:rPr>
          <w:lang w:eastAsia="en-GB"/>
        </w:rPr>
      </w:pPr>
      <w:r w:rsidRPr="00D93AF6">
        <w:rPr>
          <w:lang w:eastAsia="zh-CN"/>
        </w:rPr>
        <w:t xml:space="preserve">Option 1: Pure isolation </w:t>
      </w:r>
    </w:p>
    <w:p w14:paraId="2A9CE881" w14:textId="77777777" w:rsidR="00602424" w:rsidRPr="00D93AF6" w:rsidRDefault="00602424" w:rsidP="00D93AF6">
      <w:pPr>
        <w:pStyle w:val="ListParagraph"/>
        <w:numPr>
          <w:ilvl w:val="3"/>
          <w:numId w:val="43"/>
        </w:numPr>
        <w:adjustRightInd/>
        <w:contextualSpacing w:val="0"/>
        <w:textAlignment w:val="auto"/>
        <w:rPr>
          <w:lang w:eastAsia="zh-CN"/>
        </w:rPr>
      </w:pPr>
      <w:r w:rsidRPr="00D93AF6">
        <w:rPr>
          <w:lang w:eastAsia="zh-CN"/>
        </w:rPr>
        <w:t>Option 2: Inverse channel approach</w:t>
      </w:r>
    </w:p>
    <w:p w14:paraId="609078CC" w14:textId="571BCE69" w:rsidR="00602424" w:rsidRPr="00D93AF6" w:rsidRDefault="00602424" w:rsidP="00D93AF6">
      <w:pPr>
        <w:pStyle w:val="ListParagraph"/>
        <w:numPr>
          <w:ilvl w:val="3"/>
          <w:numId w:val="43"/>
        </w:numPr>
        <w:adjustRightInd/>
        <w:contextualSpacing w:val="0"/>
        <w:textAlignment w:val="auto"/>
        <w:rPr>
          <w:lang w:eastAsia="zh-CN"/>
        </w:rPr>
      </w:pPr>
      <w:r w:rsidRPr="00D93AF6">
        <w:rPr>
          <w:lang w:eastAsia="zh-CN"/>
        </w:rPr>
        <w:t>Other option is not precluded</w:t>
      </w:r>
    </w:p>
    <w:p w14:paraId="21772572" w14:textId="77777777" w:rsidR="00602424" w:rsidRPr="00D93AF6" w:rsidRDefault="00602424" w:rsidP="00D93AF6">
      <w:pPr>
        <w:pStyle w:val="ListParagraph"/>
        <w:numPr>
          <w:ilvl w:val="1"/>
          <w:numId w:val="43"/>
        </w:numPr>
        <w:adjustRightInd/>
        <w:contextualSpacing w:val="0"/>
        <w:textAlignment w:val="auto"/>
        <w:rPr>
          <w:lang w:eastAsia="en-GB"/>
        </w:rPr>
      </w:pPr>
      <w:r w:rsidRPr="00D93AF6">
        <w:rPr>
          <w:lang w:eastAsia="en-GB"/>
        </w:rPr>
        <w:t>All the channel model parameters need to be modelled in the channel emulator.</w:t>
      </w:r>
    </w:p>
    <w:p w14:paraId="5237F596" w14:textId="77777777" w:rsidR="00602424" w:rsidRPr="00D93AF6" w:rsidRDefault="00602424" w:rsidP="00497045">
      <w:pPr>
        <w:rPr>
          <w:lang w:eastAsia="ja-JP"/>
        </w:rPr>
      </w:pPr>
    </w:p>
    <w:sectPr w:rsidR="00602424" w:rsidRPr="00D93AF6" w:rsidSect="007D2899">
      <w:footerReference w:type="even" r:id="rId25"/>
      <w:footerReference w:type="default" r:id="rId2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6D333" w14:textId="77777777" w:rsidR="005B0279" w:rsidRDefault="005B0279">
      <w:r>
        <w:separator/>
      </w:r>
    </w:p>
  </w:endnote>
  <w:endnote w:type="continuationSeparator" w:id="0">
    <w:p w14:paraId="4A20E4C6" w14:textId="77777777" w:rsidR="005B0279" w:rsidRDefault="005B0279">
      <w:r>
        <w:continuationSeparator/>
      </w:r>
    </w:p>
  </w:endnote>
  <w:endnote w:type="continuationNotice" w:id="1">
    <w:p w14:paraId="6372F5DD" w14:textId="77777777" w:rsidR="005B0279" w:rsidRDefault="005B0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BE736C" w14:textId="77777777" w:rsidR="005B0279" w:rsidRDefault="005B0279">
      <w:r>
        <w:separator/>
      </w:r>
    </w:p>
  </w:footnote>
  <w:footnote w:type="continuationSeparator" w:id="0">
    <w:p w14:paraId="4544106A" w14:textId="77777777" w:rsidR="005B0279" w:rsidRDefault="005B0279">
      <w:r>
        <w:continuationSeparator/>
      </w:r>
    </w:p>
  </w:footnote>
  <w:footnote w:type="continuationNotice" w:id="1">
    <w:p w14:paraId="4C930E68" w14:textId="77777777" w:rsidR="005B0279" w:rsidRDefault="005B027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FE2368"/>
    <w:multiLevelType w:val="hybridMultilevel"/>
    <w:tmpl w:val="EA58C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7812A8"/>
    <w:multiLevelType w:val="hybridMultilevel"/>
    <w:tmpl w:val="154E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B27D2F"/>
    <w:multiLevelType w:val="hybridMultilevel"/>
    <w:tmpl w:val="234EBF5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E3953"/>
    <w:multiLevelType w:val="hybridMultilevel"/>
    <w:tmpl w:val="6E3699E6"/>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7F10307A"/>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3EED54E8"/>
    <w:multiLevelType w:val="hybridMultilevel"/>
    <w:tmpl w:val="938A997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o"/>
      <w:lvlJc w:val="left"/>
      <w:pPr>
        <w:ind w:left="1440" w:hanging="360"/>
      </w:pPr>
      <w:rPr>
        <w:rFonts w:ascii="Courier New" w:hAnsi="Courier New" w:cs="Courier New" w:hint="default"/>
      </w:rPr>
    </w:lvl>
    <w:lvl w:ilvl="3" w:tplc="04090005">
      <w:start w:val="1"/>
      <w:numFmt w:val="bullet"/>
      <w:lvlText w:val=""/>
      <w:lvlJc w:val="left"/>
      <w:pPr>
        <w:ind w:left="216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7"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15:restartNumberingAfterBreak="0">
    <w:nsid w:val="486B715F"/>
    <w:multiLevelType w:val="hybridMultilevel"/>
    <w:tmpl w:val="364E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50DB7"/>
    <w:multiLevelType w:val="hybridMultilevel"/>
    <w:tmpl w:val="715089F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8B252FF"/>
    <w:multiLevelType w:val="hybridMultilevel"/>
    <w:tmpl w:val="6F50E128"/>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28"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26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835575"/>
    <w:multiLevelType w:val="hybridMultilevel"/>
    <w:tmpl w:val="D1FC306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31"/>
  </w:num>
  <w:num w:numId="2" w16cid:durableId="1818299601">
    <w:abstractNumId w:val="34"/>
  </w:num>
  <w:num w:numId="3" w16cid:durableId="822310547">
    <w:abstractNumId w:val="22"/>
  </w:num>
  <w:num w:numId="4" w16cid:durableId="1022324696">
    <w:abstractNumId w:val="9"/>
  </w:num>
  <w:num w:numId="5" w16cid:durableId="1224174323">
    <w:abstractNumId w:val="3"/>
  </w:num>
  <w:num w:numId="6" w16cid:durableId="789395670">
    <w:abstractNumId w:val="30"/>
  </w:num>
  <w:num w:numId="7" w16cid:durableId="1395664146">
    <w:abstractNumId w:val="10"/>
  </w:num>
  <w:num w:numId="8" w16cid:durableId="1404523643">
    <w:abstractNumId w:val="21"/>
  </w:num>
  <w:num w:numId="9" w16cid:durableId="543058064">
    <w:abstractNumId w:val="37"/>
  </w:num>
  <w:num w:numId="10" w16cid:durableId="185564226">
    <w:abstractNumId w:val="33"/>
  </w:num>
  <w:num w:numId="11" w16cid:durableId="165559958">
    <w:abstractNumId w:val="32"/>
  </w:num>
  <w:num w:numId="12" w16cid:durableId="613631309">
    <w:abstractNumId w:val="0"/>
  </w:num>
  <w:num w:numId="13" w16cid:durableId="23218209">
    <w:abstractNumId w:val="28"/>
  </w:num>
  <w:num w:numId="14" w16cid:durableId="1974825072">
    <w:abstractNumId w:val="12"/>
  </w:num>
  <w:num w:numId="15" w16cid:durableId="1363087755">
    <w:abstractNumId w:val="24"/>
  </w:num>
  <w:num w:numId="16" w16cid:durableId="946277362">
    <w:abstractNumId w:val="26"/>
  </w:num>
  <w:num w:numId="17" w16cid:durableId="1729920205">
    <w:abstractNumId w:val="17"/>
  </w:num>
  <w:num w:numId="18" w16cid:durableId="1253662544">
    <w:abstractNumId w:val="20"/>
  </w:num>
  <w:num w:numId="19" w16cid:durableId="133060761">
    <w:abstractNumId w:val="16"/>
  </w:num>
  <w:num w:numId="20" w16cid:durableId="1448549287">
    <w:abstractNumId w:val="5"/>
  </w:num>
  <w:num w:numId="21" w16cid:durableId="1214580115">
    <w:abstractNumId w:val="18"/>
  </w:num>
  <w:num w:numId="22" w16cid:durableId="1613585904">
    <w:abstractNumId w:val="23"/>
  </w:num>
  <w:num w:numId="23" w16cid:durableId="1469974005">
    <w:abstractNumId w:val="32"/>
  </w:num>
  <w:num w:numId="24" w16cid:durableId="962880810">
    <w:abstractNumId w:val="32"/>
  </w:num>
  <w:num w:numId="25" w16cid:durableId="1885480900">
    <w:abstractNumId w:val="32"/>
  </w:num>
  <w:num w:numId="26" w16cid:durableId="1232352167">
    <w:abstractNumId w:val="32"/>
  </w:num>
  <w:num w:numId="27" w16cid:durableId="637954921">
    <w:abstractNumId w:val="32"/>
  </w:num>
  <w:num w:numId="28" w16cid:durableId="1242642487">
    <w:abstractNumId w:val="32"/>
  </w:num>
  <w:num w:numId="29" w16cid:durableId="92240552">
    <w:abstractNumId w:val="32"/>
  </w:num>
  <w:num w:numId="30" w16cid:durableId="598177325">
    <w:abstractNumId w:val="18"/>
  </w:num>
  <w:num w:numId="31" w16cid:durableId="1072777591">
    <w:abstractNumId w:val="1"/>
  </w:num>
  <w:num w:numId="32" w16cid:durableId="1517500267">
    <w:abstractNumId w:val="32"/>
  </w:num>
  <w:num w:numId="33" w16cid:durableId="1015503061">
    <w:abstractNumId w:val="29"/>
  </w:num>
  <w:num w:numId="34" w16cid:durableId="709497093">
    <w:abstractNumId w:val="6"/>
  </w:num>
  <w:num w:numId="35" w16cid:durableId="1525441199">
    <w:abstractNumId w:val="8"/>
  </w:num>
  <w:num w:numId="36" w16cid:durableId="284503470">
    <w:abstractNumId w:val="32"/>
  </w:num>
  <w:num w:numId="37" w16cid:durableId="986278525">
    <w:abstractNumId w:val="36"/>
  </w:num>
  <w:num w:numId="38" w16cid:durableId="1388794050">
    <w:abstractNumId w:val="14"/>
  </w:num>
  <w:num w:numId="39" w16cid:durableId="1158619115">
    <w:abstractNumId w:val="35"/>
  </w:num>
  <w:num w:numId="40" w16cid:durableId="193930185">
    <w:abstractNumId w:val="19"/>
  </w:num>
  <w:num w:numId="41" w16cid:durableId="153644729">
    <w:abstractNumId w:val="2"/>
  </w:num>
  <w:num w:numId="42" w16cid:durableId="763771344">
    <w:abstractNumId w:val="7"/>
  </w:num>
  <w:num w:numId="43" w16cid:durableId="114451245">
    <w:abstractNumId w:val="4"/>
  </w:num>
  <w:num w:numId="44" w16cid:durableId="1986353259">
    <w:abstractNumId w:val="11"/>
  </w:num>
  <w:num w:numId="45" w16cid:durableId="1112940194">
    <w:abstractNumId w:val="25"/>
  </w:num>
  <w:num w:numId="46" w16cid:durableId="1817604630">
    <w:abstractNumId w:val="15"/>
  </w:num>
  <w:num w:numId="47" w16cid:durableId="1999531962">
    <w:abstractNumId w:val="27"/>
  </w:num>
  <w:num w:numId="48" w16cid:durableId="15808996">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390"/>
    <w:rsid w:val="00030480"/>
    <w:rsid w:val="000305B5"/>
    <w:rsid w:val="00031028"/>
    <w:rsid w:val="00031046"/>
    <w:rsid w:val="0003108E"/>
    <w:rsid w:val="000311C6"/>
    <w:rsid w:val="0003159E"/>
    <w:rsid w:val="000317A7"/>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5F7"/>
    <w:rsid w:val="000C2A8E"/>
    <w:rsid w:val="000C2F69"/>
    <w:rsid w:val="000C3019"/>
    <w:rsid w:val="000C35EA"/>
    <w:rsid w:val="000C37A8"/>
    <w:rsid w:val="000C37F7"/>
    <w:rsid w:val="000C3857"/>
    <w:rsid w:val="000C3ABA"/>
    <w:rsid w:val="000C3EBD"/>
    <w:rsid w:val="000C3F9C"/>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7A2"/>
    <w:rsid w:val="000C79BC"/>
    <w:rsid w:val="000C7E14"/>
    <w:rsid w:val="000C7E8A"/>
    <w:rsid w:val="000D0196"/>
    <w:rsid w:val="000D01BA"/>
    <w:rsid w:val="000D0AC6"/>
    <w:rsid w:val="000D0D6E"/>
    <w:rsid w:val="000D0FAA"/>
    <w:rsid w:val="000D11B3"/>
    <w:rsid w:val="000D12F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AE6"/>
    <w:rsid w:val="000D7B61"/>
    <w:rsid w:val="000D7EBC"/>
    <w:rsid w:val="000E0263"/>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884"/>
    <w:rsid w:val="00160A31"/>
    <w:rsid w:val="001610D9"/>
    <w:rsid w:val="0016136A"/>
    <w:rsid w:val="001619A7"/>
    <w:rsid w:val="001619CC"/>
    <w:rsid w:val="00161FE8"/>
    <w:rsid w:val="0016218D"/>
    <w:rsid w:val="001623D6"/>
    <w:rsid w:val="001624B9"/>
    <w:rsid w:val="00162645"/>
    <w:rsid w:val="0016296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BC4"/>
    <w:rsid w:val="00194F77"/>
    <w:rsid w:val="00194F8D"/>
    <w:rsid w:val="00195150"/>
    <w:rsid w:val="001957FF"/>
    <w:rsid w:val="00196113"/>
    <w:rsid w:val="0019638A"/>
    <w:rsid w:val="00196875"/>
    <w:rsid w:val="00196C66"/>
    <w:rsid w:val="00196E16"/>
    <w:rsid w:val="00197061"/>
    <w:rsid w:val="00197158"/>
    <w:rsid w:val="00197291"/>
    <w:rsid w:val="0019740A"/>
    <w:rsid w:val="0019751F"/>
    <w:rsid w:val="00197610"/>
    <w:rsid w:val="00197747"/>
    <w:rsid w:val="00197769"/>
    <w:rsid w:val="001978D4"/>
    <w:rsid w:val="00197B4F"/>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B18"/>
    <w:rsid w:val="001C3F3B"/>
    <w:rsid w:val="001C3FC8"/>
    <w:rsid w:val="001C4016"/>
    <w:rsid w:val="001C4116"/>
    <w:rsid w:val="001C41EF"/>
    <w:rsid w:val="001C42E1"/>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391"/>
    <w:rsid w:val="002845FC"/>
    <w:rsid w:val="00284652"/>
    <w:rsid w:val="00284BCC"/>
    <w:rsid w:val="00284C7F"/>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C8B"/>
    <w:rsid w:val="002F1602"/>
    <w:rsid w:val="002F1791"/>
    <w:rsid w:val="002F17DE"/>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4B"/>
    <w:rsid w:val="00325093"/>
    <w:rsid w:val="003250FB"/>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3BA"/>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DF"/>
    <w:rsid w:val="00374AC7"/>
    <w:rsid w:val="00375253"/>
    <w:rsid w:val="00375497"/>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5CC"/>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D06"/>
    <w:rsid w:val="00402DC4"/>
    <w:rsid w:val="00402E88"/>
    <w:rsid w:val="00403036"/>
    <w:rsid w:val="00403134"/>
    <w:rsid w:val="00403512"/>
    <w:rsid w:val="00403917"/>
    <w:rsid w:val="00403F04"/>
    <w:rsid w:val="00403F22"/>
    <w:rsid w:val="004045B3"/>
    <w:rsid w:val="004056A3"/>
    <w:rsid w:val="00405749"/>
    <w:rsid w:val="00405759"/>
    <w:rsid w:val="004057BD"/>
    <w:rsid w:val="004059C5"/>
    <w:rsid w:val="004059F0"/>
    <w:rsid w:val="00405BEB"/>
    <w:rsid w:val="00405F8D"/>
    <w:rsid w:val="0040605F"/>
    <w:rsid w:val="00406103"/>
    <w:rsid w:val="00406144"/>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B2D"/>
    <w:rsid w:val="0047213C"/>
    <w:rsid w:val="00472250"/>
    <w:rsid w:val="00472430"/>
    <w:rsid w:val="004726E5"/>
    <w:rsid w:val="004729B1"/>
    <w:rsid w:val="00472C52"/>
    <w:rsid w:val="00472C8B"/>
    <w:rsid w:val="00472D38"/>
    <w:rsid w:val="00472DA0"/>
    <w:rsid w:val="00472E7F"/>
    <w:rsid w:val="00473355"/>
    <w:rsid w:val="004733BD"/>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045"/>
    <w:rsid w:val="004971FB"/>
    <w:rsid w:val="00497214"/>
    <w:rsid w:val="004976A7"/>
    <w:rsid w:val="0049792E"/>
    <w:rsid w:val="004979EE"/>
    <w:rsid w:val="00497A03"/>
    <w:rsid w:val="00497D13"/>
    <w:rsid w:val="00497DF8"/>
    <w:rsid w:val="00497E1F"/>
    <w:rsid w:val="004A038E"/>
    <w:rsid w:val="004A0734"/>
    <w:rsid w:val="004A0797"/>
    <w:rsid w:val="004A07A1"/>
    <w:rsid w:val="004A0A88"/>
    <w:rsid w:val="004A0CBF"/>
    <w:rsid w:val="004A10D4"/>
    <w:rsid w:val="004A1268"/>
    <w:rsid w:val="004A187C"/>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9C"/>
    <w:rsid w:val="004A71BE"/>
    <w:rsid w:val="004A7940"/>
    <w:rsid w:val="004A7B1E"/>
    <w:rsid w:val="004B0455"/>
    <w:rsid w:val="004B0900"/>
    <w:rsid w:val="004B0B75"/>
    <w:rsid w:val="004B0E1B"/>
    <w:rsid w:val="004B0F26"/>
    <w:rsid w:val="004B1306"/>
    <w:rsid w:val="004B15D3"/>
    <w:rsid w:val="004B1A61"/>
    <w:rsid w:val="004B1D20"/>
    <w:rsid w:val="004B1E32"/>
    <w:rsid w:val="004B1F23"/>
    <w:rsid w:val="004B2041"/>
    <w:rsid w:val="004B204E"/>
    <w:rsid w:val="004B23C3"/>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39A5"/>
    <w:rsid w:val="004C3A72"/>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6192"/>
    <w:rsid w:val="0054685E"/>
    <w:rsid w:val="005468B0"/>
    <w:rsid w:val="0054694A"/>
    <w:rsid w:val="00546974"/>
    <w:rsid w:val="00546B9F"/>
    <w:rsid w:val="00546E2E"/>
    <w:rsid w:val="00547077"/>
    <w:rsid w:val="005472F9"/>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7024"/>
    <w:rsid w:val="005A7853"/>
    <w:rsid w:val="005A7A96"/>
    <w:rsid w:val="005A7C6E"/>
    <w:rsid w:val="005A7DA9"/>
    <w:rsid w:val="005B0105"/>
    <w:rsid w:val="005B0279"/>
    <w:rsid w:val="005B04F8"/>
    <w:rsid w:val="005B0567"/>
    <w:rsid w:val="005B087C"/>
    <w:rsid w:val="005B0998"/>
    <w:rsid w:val="005B0E64"/>
    <w:rsid w:val="005B170B"/>
    <w:rsid w:val="005B19E1"/>
    <w:rsid w:val="005B1DCF"/>
    <w:rsid w:val="005B1F97"/>
    <w:rsid w:val="005B2128"/>
    <w:rsid w:val="005B236B"/>
    <w:rsid w:val="005B2460"/>
    <w:rsid w:val="005B25BC"/>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1483"/>
    <w:rsid w:val="006019DB"/>
    <w:rsid w:val="00601C9B"/>
    <w:rsid w:val="00601E60"/>
    <w:rsid w:val="00602265"/>
    <w:rsid w:val="00602424"/>
    <w:rsid w:val="006024C9"/>
    <w:rsid w:val="00602578"/>
    <w:rsid w:val="00602590"/>
    <w:rsid w:val="006028C1"/>
    <w:rsid w:val="00602A05"/>
    <w:rsid w:val="006030E0"/>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31A0"/>
    <w:rsid w:val="0067356E"/>
    <w:rsid w:val="006736A2"/>
    <w:rsid w:val="00673736"/>
    <w:rsid w:val="00673AFB"/>
    <w:rsid w:val="00673CFF"/>
    <w:rsid w:val="00673E97"/>
    <w:rsid w:val="00673F3F"/>
    <w:rsid w:val="00673FC9"/>
    <w:rsid w:val="00674177"/>
    <w:rsid w:val="00674355"/>
    <w:rsid w:val="006744CA"/>
    <w:rsid w:val="006744D9"/>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AF6"/>
    <w:rsid w:val="006B1C59"/>
    <w:rsid w:val="006B26BA"/>
    <w:rsid w:val="006B294E"/>
    <w:rsid w:val="006B337A"/>
    <w:rsid w:val="006B3490"/>
    <w:rsid w:val="006B398B"/>
    <w:rsid w:val="006B3BC7"/>
    <w:rsid w:val="006B3E16"/>
    <w:rsid w:val="006B404E"/>
    <w:rsid w:val="006B409C"/>
    <w:rsid w:val="006B40CF"/>
    <w:rsid w:val="006B4331"/>
    <w:rsid w:val="006B481E"/>
    <w:rsid w:val="006B49E3"/>
    <w:rsid w:val="006B49F6"/>
    <w:rsid w:val="006B4DD0"/>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5036"/>
    <w:rsid w:val="007654A2"/>
    <w:rsid w:val="007658FC"/>
    <w:rsid w:val="00765976"/>
    <w:rsid w:val="00765D50"/>
    <w:rsid w:val="0076604E"/>
    <w:rsid w:val="00766094"/>
    <w:rsid w:val="007660E7"/>
    <w:rsid w:val="007661D2"/>
    <w:rsid w:val="007662F7"/>
    <w:rsid w:val="007663D9"/>
    <w:rsid w:val="007663F2"/>
    <w:rsid w:val="007669CD"/>
    <w:rsid w:val="007670D7"/>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8BA"/>
    <w:rsid w:val="00772C5A"/>
    <w:rsid w:val="00772EFA"/>
    <w:rsid w:val="00772F91"/>
    <w:rsid w:val="00773003"/>
    <w:rsid w:val="0077333A"/>
    <w:rsid w:val="00773968"/>
    <w:rsid w:val="007739A8"/>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DF"/>
    <w:rsid w:val="007D6CE6"/>
    <w:rsid w:val="007D6D1F"/>
    <w:rsid w:val="007D6F03"/>
    <w:rsid w:val="007D70EE"/>
    <w:rsid w:val="007D79D4"/>
    <w:rsid w:val="007D7AB8"/>
    <w:rsid w:val="007D7B1E"/>
    <w:rsid w:val="007D7C04"/>
    <w:rsid w:val="007D7CF4"/>
    <w:rsid w:val="007E0113"/>
    <w:rsid w:val="007E038C"/>
    <w:rsid w:val="007E0CE0"/>
    <w:rsid w:val="007E0CE8"/>
    <w:rsid w:val="007E10B8"/>
    <w:rsid w:val="007E1107"/>
    <w:rsid w:val="007E1193"/>
    <w:rsid w:val="007E1275"/>
    <w:rsid w:val="007E1616"/>
    <w:rsid w:val="007E1E9B"/>
    <w:rsid w:val="007E211F"/>
    <w:rsid w:val="007E2178"/>
    <w:rsid w:val="007E2483"/>
    <w:rsid w:val="007E24D7"/>
    <w:rsid w:val="007E2A35"/>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C58"/>
    <w:rsid w:val="007F2D85"/>
    <w:rsid w:val="007F2DAE"/>
    <w:rsid w:val="007F3699"/>
    <w:rsid w:val="007F3795"/>
    <w:rsid w:val="007F39D8"/>
    <w:rsid w:val="007F3CE0"/>
    <w:rsid w:val="007F3D80"/>
    <w:rsid w:val="007F3D8B"/>
    <w:rsid w:val="007F430A"/>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DD5"/>
    <w:rsid w:val="00860FD2"/>
    <w:rsid w:val="00861320"/>
    <w:rsid w:val="00861374"/>
    <w:rsid w:val="00861728"/>
    <w:rsid w:val="00861A13"/>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C77"/>
    <w:rsid w:val="008C3F67"/>
    <w:rsid w:val="008C4CF7"/>
    <w:rsid w:val="008C5674"/>
    <w:rsid w:val="008C5B9A"/>
    <w:rsid w:val="008C5E90"/>
    <w:rsid w:val="008C6032"/>
    <w:rsid w:val="008C624A"/>
    <w:rsid w:val="008C6811"/>
    <w:rsid w:val="008C6A28"/>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F79"/>
    <w:rsid w:val="0096503E"/>
    <w:rsid w:val="00965077"/>
    <w:rsid w:val="00965361"/>
    <w:rsid w:val="009653DE"/>
    <w:rsid w:val="009654CA"/>
    <w:rsid w:val="0096569A"/>
    <w:rsid w:val="009657FE"/>
    <w:rsid w:val="00965849"/>
    <w:rsid w:val="0096587C"/>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EAA"/>
    <w:rsid w:val="0098454C"/>
    <w:rsid w:val="009845AD"/>
    <w:rsid w:val="00984712"/>
    <w:rsid w:val="009849BA"/>
    <w:rsid w:val="00984AEC"/>
    <w:rsid w:val="00984CA4"/>
    <w:rsid w:val="0098512B"/>
    <w:rsid w:val="00985194"/>
    <w:rsid w:val="009853DC"/>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63ED"/>
    <w:rsid w:val="009967F9"/>
    <w:rsid w:val="00996D88"/>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A"/>
    <w:rsid w:val="009E0369"/>
    <w:rsid w:val="009E05C9"/>
    <w:rsid w:val="009E06D3"/>
    <w:rsid w:val="009E083B"/>
    <w:rsid w:val="009E09BD"/>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B6D"/>
    <w:rsid w:val="00B13C73"/>
    <w:rsid w:val="00B13D2B"/>
    <w:rsid w:val="00B14386"/>
    <w:rsid w:val="00B14745"/>
    <w:rsid w:val="00B14828"/>
    <w:rsid w:val="00B14987"/>
    <w:rsid w:val="00B14D62"/>
    <w:rsid w:val="00B14D7B"/>
    <w:rsid w:val="00B14DCF"/>
    <w:rsid w:val="00B14EF7"/>
    <w:rsid w:val="00B152C1"/>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622"/>
    <w:rsid w:val="00C4281D"/>
    <w:rsid w:val="00C42C79"/>
    <w:rsid w:val="00C42FFC"/>
    <w:rsid w:val="00C4302C"/>
    <w:rsid w:val="00C431E3"/>
    <w:rsid w:val="00C432F5"/>
    <w:rsid w:val="00C434BB"/>
    <w:rsid w:val="00C43598"/>
    <w:rsid w:val="00C43604"/>
    <w:rsid w:val="00C438C1"/>
    <w:rsid w:val="00C439E3"/>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7E"/>
    <w:rsid w:val="00C53951"/>
    <w:rsid w:val="00C53B2F"/>
    <w:rsid w:val="00C53FE2"/>
    <w:rsid w:val="00C541D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8FE"/>
    <w:rsid w:val="00CA3AFA"/>
    <w:rsid w:val="00CA3DC3"/>
    <w:rsid w:val="00CA3F59"/>
    <w:rsid w:val="00CA3FFC"/>
    <w:rsid w:val="00CA406D"/>
    <w:rsid w:val="00CA42EA"/>
    <w:rsid w:val="00CA4749"/>
    <w:rsid w:val="00CA4A7F"/>
    <w:rsid w:val="00CA4ADA"/>
    <w:rsid w:val="00CA4C02"/>
    <w:rsid w:val="00CA4C8A"/>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46B"/>
    <w:rsid w:val="00CF76FE"/>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B60"/>
    <w:rsid w:val="00D44E6B"/>
    <w:rsid w:val="00D45096"/>
    <w:rsid w:val="00D453E9"/>
    <w:rsid w:val="00D45598"/>
    <w:rsid w:val="00D45C25"/>
    <w:rsid w:val="00D462BD"/>
    <w:rsid w:val="00D462CC"/>
    <w:rsid w:val="00D4630D"/>
    <w:rsid w:val="00D4632E"/>
    <w:rsid w:val="00D4674F"/>
    <w:rsid w:val="00D46AF9"/>
    <w:rsid w:val="00D4723F"/>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AF6"/>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C61"/>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72"/>
    <w:rsid w:val="00DB328D"/>
    <w:rsid w:val="00DB3833"/>
    <w:rsid w:val="00DB38D8"/>
    <w:rsid w:val="00DB3907"/>
    <w:rsid w:val="00DB3B42"/>
    <w:rsid w:val="00DB3BF4"/>
    <w:rsid w:val="00DB3C88"/>
    <w:rsid w:val="00DB4014"/>
    <w:rsid w:val="00DB40B4"/>
    <w:rsid w:val="00DB413A"/>
    <w:rsid w:val="00DB4398"/>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D9"/>
    <w:rsid w:val="00DD48E5"/>
    <w:rsid w:val="00DD4A1F"/>
    <w:rsid w:val="00DD4B2B"/>
    <w:rsid w:val="00DD4BE5"/>
    <w:rsid w:val="00DD4DBA"/>
    <w:rsid w:val="00DD5541"/>
    <w:rsid w:val="00DD5C34"/>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56B"/>
    <w:rsid w:val="00DE4654"/>
    <w:rsid w:val="00DE4868"/>
    <w:rsid w:val="00DE4AEF"/>
    <w:rsid w:val="00DE4CEC"/>
    <w:rsid w:val="00DE4E25"/>
    <w:rsid w:val="00DE5412"/>
    <w:rsid w:val="00DE54CE"/>
    <w:rsid w:val="00DE56C6"/>
    <w:rsid w:val="00DE593B"/>
    <w:rsid w:val="00DE5A83"/>
    <w:rsid w:val="00DE5B23"/>
    <w:rsid w:val="00DE5E78"/>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200"/>
    <w:rsid w:val="00E614EE"/>
    <w:rsid w:val="00E61580"/>
    <w:rsid w:val="00E61904"/>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A2"/>
    <w:rsid w:val="00ED6CB3"/>
    <w:rsid w:val="00ED7128"/>
    <w:rsid w:val="00ED7522"/>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9A6"/>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26"/>
    <w:rsid w:val="00F25701"/>
    <w:rsid w:val="00F25A97"/>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4C9"/>
    <w:rsid w:val="00F355D8"/>
    <w:rsid w:val="00F3576D"/>
    <w:rsid w:val="00F35946"/>
    <w:rsid w:val="00F35A7F"/>
    <w:rsid w:val="00F35AE1"/>
    <w:rsid w:val="00F35F15"/>
    <w:rsid w:val="00F36007"/>
    <w:rsid w:val="00F3654E"/>
    <w:rsid w:val="00F368B6"/>
    <w:rsid w:val="00F36950"/>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DB8"/>
    <w:rsid w:val="00FE2E74"/>
    <w:rsid w:val="00FE2E7B"/>
    <w:rsid w:val="00FE2FB8"/>
    <w:rsid w:val="00FE2FFA"/>
    <w:rsid w:val="00FE32B8"/>
    <w:rsid w:val="00FE3401"/>
    <w:rsid w:val="00FE3591"/>
    <w:rsid w:val="00FE380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tabs>
        <w:tab w:val="clear" w:pos="1440"/>
      </w:tabs>
      <w:spacing w:before="180" w:after="240" w:line="280" w:lineRule="atLeast"/>
      <w:ind w:left="766"/>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목록"/>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package" Target="embeddings/Microsoft_Visio_Drawing3.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AD38D290-824F-4988-A703-11D64F31CC9D}">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146</TotalTime>
  <Pages>10</Pages>
  <Words>1779</Words>
  <Characters>10053</Characters>
  <Application>Microsoft Office Word</Application>
  <DocSecurity>0</DocSecurity>
  <Lines>335</Lines>
  <Paragraphs>241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Bin Han_Qualcomm</cp:lastModifiedBy>
  <cp:revision>135</cp:revision>
  <cp:lastPrinted>2016-03-25T21:53:00Z</cp:lastPrinted>
  <dcterms:created xsi:type="dcterms:W3CDTF">2023-05-14T08:23:00Z</dcterms:created>
  <dcterms:modified xsi:type="dcterms:W3CDTF">2023-05-24T09:20:00Z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